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09559" w14:textId="57EF6A33" w:rsidR="00CF4A2E" w:rsidRDefault="00CF4A2E" w:rsidP="00870FE9">
      <w:pPr>
        <w:pStyle w:val="NormalWeb"/>
        <w:spacing w:before="0" w:beforeAutospacing="0" w:after="0" w:afterAutospacing="0"/>
        <w:jc w:val="center"/>
        <w:rPr>
          <w:rStyle w:val="eop"/>
          <w:rFonts w:ascii="Montserrat" w:eastAsia="Montserrat" w:hAnsi="Montserrat" w:cs="Calibri"/>
          <w:b/>
          <w:bCs/>
          <w:color w:val="000000" w:themeColor="text1"/>
          <w:sz w:val="22"/>
          <w:szCs w:val="22"/>
          <w:shd w:val="clear" w:color="auto" w:fill="FFFFFF"/>
        </w:rPr>
      </w:pPr>
      <w:r w:rsidRPr="00FB0969">
        <w:rPr>
          <w:rFonts w:ascii="Montserrat" w:hAnsi="Montserrat" w:cstheme="minorHAnsi"/>
          <w:noProof/>
          <w:color w:val="000000" w:themeColor="text1"/>
        </w:rPr>
        <w:drawing>
          <wp:anchor distT="0" distB="0" distL="114300" distR="114300" simplePos="0" relativeHeight="251659264" behindDoc="0" locked="0" layoutInCell="1" allowOverlap="1" wp14:anchorId="018C6359" wp14:editId="53B58218">
            <wp:simplePos x="0" y="0"/>
            <wp:positionH relativeFrom="margin">
              <wp:posOffset>-902426</wp:posOffset>
            </wp:positionH>
            <wp:positionV relativeFrom="paragraph">
              <wp:posOffset>-895894</wp:posOffset>
            </wp:positionV>
            <wp:extent cx="7886700" cy="166524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7928441" cy="1674060"/>
                    </a:xfrm>
                    <a:prstGeom prst="rect">
                      <a:avLst/>
                    </a:prstGeom>
                  </pic:spPr>
                </pic:pic>
              </a:graphicData>
            </a:graphic>
            <wp14:sizeRelH relativeFrom="margin">
              <wp14:pctWidth>0</wp14:pctWidth>
            </wp14:sizeRelH>
            <wp14:sizeRelV relativeFrom="margin">
              <wp14:pctHeight>0</wp14:pctHeight>
            </wp14:sizeRelV>
          </wp:anchor>
        </w:drawing>
      </w:r>
    </w:p>
    <w:p w14:paraId="5F1DE094" w14:textId="77777777" w:rsidR="00CF4A2E" w:rsidRDefault="00CF4A2E" w:rsidP="00870FE9">
      <w:pPr>
        <w:pStyle w:val="NormalWeb"/>
        <w:spacing w:before="0" w:beforeAutospacing="0" w:after="0" w:afterAutospacing="0"/>
        <w:jc w:val="center"/>
        <w:rPr>
          <w:rStyle w:val="eop"/>
          <w:rFonts w:ascii="Montserrat" w:eastAsia="Montserrat" w:hAnsi="Montserrat" w:cs="Calibri"/>
          <w:b/>
          <w:bCs/>
          <w:color w:val="000000" w:themeColor="text1"/>
          <w:sz w:val="22"/>
          <w:szCs w:val="22"/>
          <w:shd w:val="clear" w:color="auto" w:fill="FFFFFF"/>
        </w:rPr>
      </w:pPr>
    </w:p>
    <w:p w14:paraId="069438CB" w14:textId="77777777" w:rsidR="00CF4A2E" w:rsidRDefault="00CF4A2E" w:rsidP="00870FE9">
      <w:pPr>
        <w:pStyle w:val="NormalWeb"/>
        <w:spacing w:before="0" w:beforeAutospacing="0" w:after="0" w:afterAutospacing="0"/>
        <w:jc w:val="center"/>
        <w:rPr>
          <w:rStyle w:val="eop"/>
          <w:rFonts w:ascii="Montserrat" w:eastAsia="Montserrat" w:hAnsi="Montserrat" w:cs="Calibri"/>
          <w:b/>
          <w:bCs/>
          <w:color w:val="000000" w:themeColor="text1"/>
          <w:sz w:val="22"/>
          <w:szCs w:val="22"/>
          <w:shd w:val="clear" w:color="auto" w:fill="FFFFFF"/>
        </w:rPr>
      </w:pPr>
    </w:p>
    <w:p w14:paraId="3FBD16F5" w14:textId="77777777" w:rsidR="00CF4A2E" w:rsidRDefault="00CF4A2E" w:rsidP="00870FE9">
      <w:pPr>
        <w:pStyle w:val="NormalWeb"/>
        <w:spacing w:before="0" w:beforeAutospacing="0" w:after="0" w:afterAutospacing="0"/>
        <w:jc w:val="center"/>
        <w:rPr>
          <w:rStyle w:val="eop"/>
          <w:rFonts w:ascii="Montserrat" w:eastAsia="Montserrat" w:hAnsi="Montserrat" w:cs="Calibri"/>
          <w:b/>
          <w:bCs/>
          <w:color w:val="000000" w:themeColor="text1"/>
          <w:sz w:val="22"/>
          <w:szCs w:val="22"/>
          <w:shd w:val="clear" w:color="auto" w:fill="FFFFFF"/>
        </w:rPr>
      </w:pPr>
    </w:p>
    <w:p w14:paraId="654B9143" w14:textId="77777777" w:rsidR="00CF4A2E" w:rsidRDefault="00CF4A2E" w:rsidP="00870FE9">
      <w:pPr>
        <w:pStyle w:val="NormalWeb"/>
        <w:spacing w:before="0" w:beforeAutospacing="0" w:after="0" w:afterAutospacing="0"/>
        <w:jc w:val="center"/>
        <w:rPr>
          <w:rStyle w:val="eop"/>
          <w:rFonts w:ascii="Montserrat" w:eastAsia="Montserrat" w:hAnsi="Montserrat" w:cs="Calibri"/>
          <w:b/>
          <w:bCs/>
          <w:color w:val="000000" w:themeColor="text1"/>
          <w:sz w:val="22"/>
          <w:szCs w:val="22"/>
          <w:shd w:val="clear" w:color="auto" w:fill="FFFFFF"/>
        </w:rPr>
      </w:pPr>
    </w:p>
    <w:p w14:paraId="6A97D40C" w14:textId="77777777" w:rsidR="00A06CB4" w:rsidRDefault="00A06CB4" w:rsidP="00870FE9">
      <w:pPr>
        <w:pStyle w:val="NormalWeb"/>
        <w:spacing w:before="0" w:beforeAutospacing="0" w:after="0" w:afterAutospacing="0"/>
        <w:jc w:val="center"/>
        <w:rPr>
          <w:rStyle w:val="eop"/>
          <w:rFonts w:ascii="Montserrat" w:eastAsia="Montserrat" w:hAnsi="Montserrat" w:cs="Calibri"/>
          <w:b/>
          <w:bCs/>
          <w:color w:val="000000" w:themeColor="text1"/>
          <w:sz w:val="22"/>
          <w:szCs w:val="22"/>
          <w:shd w:val="clear" w:color="auto" w:fill="FFFFFF"/>
        </w:rPr>
      </w:pPr>
    </w:p>
    <w:p w14:paraId="347CCE94" w14:textId="7BB50543" w:rsidR="007E6A7C" w:rsidRPr="00ED7FFB" w:rsidRDefault="007E6A7C" w:rsidP="00870FE9">
      <w:pPr>
        <w:pStyle w:val="NormalWeb"/>
        <w:spacing w:before="0" w:beforeAutospacing="0" w:after="0" w:afterAutospacing="0"/>
        <w:jc w:val="center"/>
        <w:rPr>
          <w:rStyle w:val="eop"/>
          <w:rFonts w:ascii="Montserrat" w:eastAsia="Montserrat" w:hAnsi="Montserrat" w:cs="Calibri"/>
          <w:b/>
          <w:bCs/>
          <w:color w:val="000000" w:themeColor="text1"/>
          <w:sz w:val="28"/>
          <w:szCs w:val="28"/>
          <w:shd w:val="clear" w:color="auto" w:fill="FFFFFF"/>
        </w:rPr>
      </w:pPr>
      <w:r w:rsidRPr="00ED7FFB">
        <w:rPr>
          <w:rStyle w:val="eop"/>
          <w:rFonts w:ascii="Montserrat" w:eastAsia="Montserrat" w:hAnsi="Montserrat" w:cs="Calibri"/>
          <w:b/>
          <w:bCs/>
          <w:color w:val="000000" w:themeColor="text1"/>
          <w:sz w:val="28"/>
          <w:szCs w:val="28"/>
          <w:shd w:val="clear" w:color="auto" w:fill="FFFFFF"/>
        </w:rPr>
        <w:t>ABOUT THE STUDIES PRESENTED AT IDWEEK 2024</w:t>
      </w:r>
    </w:p>
    <w:p w14:paraId="330DE16D" w14:textId="5105D201" w:rsidR="007E6A7C" w:rsidRPr="004E6171" w:rsidRDefault="007E6A7C" w:rsidP="007E6A7C">
      <w:pPr>
        <w:rPr>
          <w:rFonts w:ascii="Montserrat" w:hAnsi="Montserrat"/>
        </w:rPr>
      </w:pPr>
    </w:p>
    <w:p w14:paraId="368DEE63" w14:textId="32BABEFA" w:rsidR="007E6A7C" w:rsidRPr="004E6171" w:rsidRDefault="007E6A7C" w:rsidP="007E6A7C">
      <w:pPr>
        <w:rPr>
          <w:rFonts w:ascii="Montserrat" w:hAnsi="Montserrat"/>
          <w:b/>
          <w:bCs/>
        </w:rPr>
      </w:pPr>
      <w:r w:rsidRPr="004E6171">
        <w:rPr>
          <w:rFonts w:ascii="Montserrat" w:hAnsi="Montserrat"/>
          <w:b/>
          <w:bCs/>
        </w:rPr>
        <w:t>The Impact of Low Influenza Immunization Rates on U.S. Hospital System Resources. A Dynamic Model Estimation</w:t>
      </w:r>
      <w:r w:rsidRPr="004E6171">
        <w:rPr>
          <w:rStyle w:val="EndnoteReference"/>
          <w:rFonts w:ascii="Montserrat" w:hAnsi="Montserrat" w:cstheme="minorBidi"/>
          <w:b/>
          <w:bCs/>
        </w:rPr>
        <w:endnoteReference w:id="2"/>
      </w:r>
    </w:p>
    <w:p w14:paraId="7DFF12FE" w14:textId="05D43114" w:rsidR="007E6A7C" w:rsidRPr="004E6171" w:rsidRDefault="007E6A7C" w:rsidP="007E6A7C">
      <w:pPr>
        <w:rPr>
          <w:rFonts w:ascii="Montserrat" w:hAnsi="Montserrat"/>
        </w:rPr>
      </w:pPr>
      <w:r w:rsidRPr="004E6171">
        <w:rPr>
          <w:rFonts w:ascii="Montserrat" w:hAnsi="Montserrat"/>
        </w:rPr>
        <w:t xml:space="preserve">Researchers used a dynamic age-stratified transmission model that incorporated data from two U.S. </w:t>
      </w:r>
      <w:r w:rsidR="00CF7711">
        <w:rPr>
          <w:rFonts w:ascii="Montserrat" w:hAnsi="Montserrat"/>
        </w:rPr>
        <w:t xml:space="preserve">flu </w:t>
      </w:r>
      <w:r w:rsidRPr="004E6171">
        <w:rPr>
          <w:rFonts w:ascii="Montserrat" w:hAnsi="Montserrat"/>
        </w:rPr>
        <w:t xml:space="preserve">seasons with varying incidences (2011-2012 for low incidence and 2017-2018 for high incidence) to estimate the impact of low influenza vaccination rates on the disease burden and U.S. hospital system resources. The study evaluated </w:t>
      </w:r>
      <w:r w:rsidR="008F7DD1">
        <w:rPr>
          <w:rFonts w:ascii="Montserrat" w:hAnsi="Montserrat"/>
        </w:rPr>
        <w:t>eleven</w:t>
      </w:r>
      <w:r w:rsidRPr="004E6171">
        <w:rPr>
          <w:rFonts w:ascii="Montserrat" w:hAnsi="Montserrat"/>
        </w:rPr>
        <w:t xml:space="preserve"> different flu vaccination rates: </w:t>
      </w:r>
      <w:r w:rsidR="009E46F7">
        <w:rPr>
          <w:rFonts w:ascii="Montserrat" w:hAnsi="Montserrat"/>
        </w:rPr>
        <w:t xml:space="preserve">20%, </w:t>
      </w:r>
      <w:r w:rsidRPr="004E6171">
        <w:rPr>
          <w:rFonts w:ascii="Montserrat" w:hAnsi="Montserrat"/>
        </w:rPr>
        <w:t>25%, 30%, 35%, 40%</w:t>
      </w:r>
      <w:r w:rsidR="00583D96">
        <w:rPr>
          <w:rFonts w:ascii="Montserrat" w:hAnsi="Montserrat"/>
        </w:rPr>
        <w:t xml:space="preserve">, </w:t>
      </w:r>
      <w:r w:rsidR="00583D96" w:rsidRPr="00583D96">
        <w:rPr>
          <w:rFonts w:ascii="Montserrat" w:hAnsi="Montserrat"/>
        </w:rPr>
        <w:t>45%, 50%, 55%, 60%, 65% and 70%</w:t>
      </w:r>
      <w:r w:rsidRPr="004E6171">
        <w:rPr>
          <w:rFonts w:ascii="Montserrat" w:hAnsi="Montserrat"/>
        </w:rPr>
        <w:t>.</w:t>
      </w:r>
    </w:p>
    <w:p w14:paraId="3D88A1F8" w14:textId="77777777" w:rsidR="007E6A7C" w:rsidRPr="004E6171" w:rsidRDefault="007E6A7C" w:rsidP="007E6A7C">
      <w:pPr>
        <w:rPr>
          <w:rFonts w:ascii="Montserrat" w:hAnsi="Montserrat"/>
        </w:rPr>
      </w:pPr>
    </w:p>
    <w:p w14:paraId="3DBA7F23" w14:textId="0DE57B26" w:rsidR="007E6A7C" w:rsidRPr="004E6171" w:rsidRDefault="007E6A7C" w:rsidP="007E6A7C">
      <w:pPr>
        <w:rPr>
          <w:rFonts w:ascii="Montserrat" w:hAnsi="Montserrat"/>
        </w:rPr>
      </w:pPr>
      <w:bookmarkStart w:id="0" w:name="_Hlk176902623"/>
      <w:r w:rsidRPr="004E6171">
        <w:rPr>
          <w:rFonts w:ascii="Montserrat" w:hAnsi="Montserrat"/>
        </w:rPr>
        <w:t xml:space="preserve">The model assumed the use of quadrivalent flu vaccines for all ages and the total number of acute hospital and </w:t>
      </w:r>
      <w:r w:rsidR="00066B62">
        <w:rPr>
          <w:rFonts w:ascii="Montserrat" w:hAnsi="Montserrat"/>
        </w:rPr>
        <w:t>intensive care unit (</w:t>
      </w:r>
      <w:r w:rsidRPr="004E6171">
        <w:rPr>
          <w:rFonts w:ascii="Montserrat" w:hAnsi="Montserrat"/>
        </w:rPr>
        <w:t>ICU</w:t>
      </w:r>
      <w:r w:rsidR="00066B62">
        <w:rPr>
          <w:rFonts w:ascii="Montserrat" w:hAnsi="Montserrat"/>
        </w:rPr>
        <w:t>)</w:t>
      </w:r>
      <w:r w:rsidRPr="004E6171">
        <w:rPr>
          <w:rFonts w:ascii="Montserrat" w:hAnsi="Montserrat"/>
        </w:rPr>
        <w:t xml:space="preserve"> </w:t>
      </w:r>
      <w:r w:rsidR="0018585F">
        <w:rPr>
          <w:rFonts w:ascii="Montserrat" w:hAnsi="Montserrat"/>
        </w:rPr>
        <w:t xml:space="preserve">hospital </w:t>
      </w:r>
      <w:r w:rsidRPr="004E6171">
        <w:rPr>
          <w:rFonts w:ascii="Montserrat" w:hAnsi="Montserrat"/>
        </w:rPr>
        <w:t xml:space="preserve">beds available for influenza in the U.S. at 300,000 and 30,000, respectively. </w:t>
      </w:r>
      <w:bookmarkEnd w:id="0"/>
      <w:r w:rsidRPr="004E6171">
        <w:rPr>
          <w:rFonts w:ascii="Montserrat" w:hAnsi="Montserrat"/>
        </w:rPr>
        <w:t xml:space="preserve">The assessment measured the number of </w:t>
      </w:r>
      <w:r w:rsidR="009F54F8">
        <w:rPr>
          <w:rFonts w:ascii="Montserrat" w:hAnsi="Montserrat"/>
        </w:rPr>
        <w:t>symptomatic cases</w:t>
      </w:r>
      <w:r w:rsidRPr="004E6171">
        <w:rPr>
          <w:rFonts w:ascii="Montserrat" w:hAnsi="Montserrat"/>
        </w:rPr>
        <w:t xml:space="preserve">, </w:t>
      </w:r>
      <w:r w:rsidR="009F54F8">
        <w:rPr>
          <w:rFonts w:ascii="Montserrat" w:hAnsi="Montserrat"/>
        </w:rPr>
        <w:t>general practitioner</w:t>
      </w:r>
      <w:r w:rsidR="009F54F8" w:rsidRPr="004E6171">
        <w:rPr>
          <w:rFonts w:ascii="Montserrat" w:hAnsi="Montserrat"/>
        </w:rPr>
        <w:t xml:space="preserve"> </w:t>
      </w:r>
      <w:r w:rsidRPr="004E6171">
        <w:rPr>
          <w:rFonts w:ascii="Montserrat" w:hAnsi="Montserrat"/>
        </w:rPr>
        <w:t xml:space="preserve">visits, hospitalizations, and ICU stays and deaths, estimating an average VE of 42% based on seasonal reports from the </w:t>
      </w:r>
      <w:r w:rsidR="00066B62">
        <w:rPr>
          <w:rFonts w:ascii="Montserrat" w:hAnsi="Montserrat"/>
        </w:rPr>
        <w:t>U.S. Centers for Disease Control and Prevention (</w:t>
      </w:r>
      <w:r w:rsidRPr="004E6171">
        <w:rPr>
          <w:rFonts w:ascii="Montserrat" w:hAnsi="Montserrat"/>
        </w:rPr>
        <w:t>CDC</w:t>
      </w:r>
      <w:r w:rsidR="00066B62">
        <w:rPr>
          <w:rFonts w:ascii="Montserrat" w:hAnsi="Montserrat"/>
        </w:rPr>
        <w:t>)</w:t>
      </w:r>
      <w:r w:rsidRPr="004E6171">
        <w:rPr>
          <w:rFonts w:ascii="Montserrat" w:hAnsi="Montserrat"/>
        </w:rPr>
        <w:t>.</w:t>
      </w:r>
    </w:p>
    <w:p w14:paraId="36AC259A" w14:textId="77777777" w:rsidR="007E6A7C" w:rsidRPr="004E6171" w:rsidRDefault="007E6A7C" w:rsidP="007E6A7C">
      <w:pPr>
        <w:rPr>
          <w:rFonts w:ascii="Montserrat" w:hAnsi="Montserrat"/>
        </w:rPr>
      </w:pPr>
    </w:p>
    <w:p w14:paraId="052B4E27" w14:textId="75CF09FC" w:rsidR="007E6A7C" w:rsidRPr="004E6171" w:rsidRDefault="007E6A7C" w:rsidP="007E6A7C">
      <w:pPr>
        <w:rPr>
          <w:rFonts w:ascii="Montserrat" w:hAnsi="Montserrat"/>
        </w:rPr>
      </w:pPr>
      <w:r w:rsidRPr="004E6171">
        <w:rPr>
          <w:rFonts w:ascii="Montserrat" w:hAnsi="Montserrat"/>
        </w:rPr>
        <w:t xml:space="preserve">This study concluded that increasing vaccination rates to at least </w:t>
      </w:r>
      <w:r w:rsidR="007E3703">
        <w:rPr>
          <w:rFonts w:ascii="Montserrat" w:hAnsi="Montserrat"/>
        </w:rPr>
        <w:t>45</w:t>
      </w:r>
      <w:r w:rsidRPr="004E6171">
        <w:rPr>
          <w:rFonts w:ascii="Montserrat" w:hAnsi="Montserrat"/>
        </w:rPr>
        <w:t>% is essential for managing health outcomes and easing hospital burdens, particularly in ICUs. Results indicated that the estimated</w:t>
      </w:r>
      <w:r w:rsidRPr="004E6171" w:rsidDel="00A6665C">
        <w:rPr>
          <w:rFonts w:ascii="Montserrat" w:hAnsi="Montserrat"/>
        </w:rPr>
        <w:t xml:space="preserve"> </w:t>
      </w:r>
      <w:r w:rsidRPr="004E6171">
        <w:rPr>
          <w:rFonts w:ascii="Montserrat" w:hAnsi="Montserrat"/>
        </w:rPr>
        <w:t xml:space="preserve">35% vaccination rate achieved during the 2023-24 season could result in significant healthcare stress, predicting </w:t>
      </w:r>
      <w:r w:rsidR="007951F4">
        <w:rPr>
          <w:rFonts w:ascii="Montserrat" w:hAnsi="Montserrat"/>
        </w:rPr>
        <w:t>62</w:t>
      </w:r>
      <w:r w:rsidR="007951F4" w:rsidRPr="004E6171">
        <w:rPr>
          <w:rFonts w:ascii="Montserrat" w:hAnsi="Montserrat"/>
        </w:rPr>
        <w:t xml:space="preserve"> </w:t>
      </w:r>
      <w:r w:rsidRPr="004E6171">
        <w:rPr>
          <w:rFonts w:ascii="Montserrat" w:hAnsi="Montserrat"/>
        </w:rPr>
        <w:t>million infections, 2</w:t>
      </w:r>
      <w:r w:rsidR="007951F4">
        <w:rPr>
          <w:rFonts w:ascii="Montserrat" w:hAnsi="Montserrat"/>
        </w:rPr>
        <w:t>8</w:t>
      </w:r>
      <w:r w:rsidRPr="004E6171">
        <w:rPr>
          <w:rFonts w:ascii="Montserrat" w:hAnsi="Montserrat"/>
        </w:rPr>
        <w:t xml:space="preserve"> million </w:t>
      </w:r>
      <w:r w:rsidR="007951F4">
        <w:rPr>
          <w:rFonts w:ascii="Montserrat" w:hAnsi="Montserrat"/>
        </w:rPr>
        <w:t>general practitioner</w:t>
      </w:r>
      <w:r w:rsidR="007951F4" w:rsidRPr="004E6171">
        <w:rPr>
          <w:rFonts w:ascii="Montserrat" w:hAnsi="Montserrat"/>
        </w:rPr>
        <w:t xml:space="preserve"> </w:t>
      </w:r>
      <w:r w:rsidRPr="004E6171">
        <w:rPr>
          <w:rFonts w:ascii="Montserrat" w:hAnsi="Montserrat"/>
        </w:rPr>
        <w:t xml:space="preserve">visits, </w:t>
      </w:r>
      <w:r w:rsidR="007951F4">
        <w:rPr>
          <w:rFonts w:ascii="Montserrat" w:hAnsi="Montserrat"/>
        </w:rPr>
        <w:t>861</w:t>
      </w:r>
      <w:r w:rsidRPr="004E6171">
        <w:rPr>
          <w:rFonts w:ascii="Montserrat" w:hAnsi="Montserrat"/>
        </w:rPr>
        <w:t>,000 hospitalizations, and approximately 1</w:t>
      </w:r>
      <w:r w:rsidR="007951F4">
        <w:rPr>
          <w:rFonts w:ascii="Montserrat" w:hAnsi="Montserrat"/>
        </w:rPr>
        <w:t>27</w:t>
      </w:r>
      <w:r w:rsidRPr="004E6171">
        <w:rPr>
          <w:rFonts w:ascii="Montserrat" w:hAnsi="Montserrat"/>
        </w:rPr>
        <w:t>,000 deaths in a high-incidence season.</w:t>
      </w:r>
      <w:r w:rsidRPr="004E6171">
        <w:rPr>
          <w:rStyle w:val="CommentReference"/>
          <w:rFonts w:ascii="Montserrat" w:hAnsi="Montserrat"/>
        </w:rPr>
        <w:t xml:space="preserve"> </w:t>
      </w:r>
    </w:p>
    <w:p w14:paraId="6961F366" w14:textId="77777777" w:rsidR="007E6A7C" w:rsidRPr="004E6171" w:rsidRDefault="007E6A7C" w:rsidP="007E6A7C">
      <w:pPr>
        <w:rPr>
          <w:rFonts w:ascii="Montserrat" w:hAnsi="Montserrat"/>
        </w:rPr>
      </w:pPr>
    </w:p>
    <w:p w14:paraId="6DC389F6" w14:textId="1B9E091C" w:rsidR="007E6A7C" w:rsidRPr="004E6171" w:rsidRDefault="007E6A7C" w:rsidP="007E6A7C">
      <w:pPr>
        <w:rPr>
          <w:rFonts w:ascii="Montserrat" w:hAnsi="Montserrat"/>
        </w:rPr>
      </w:pPr>
      <w:r w:rsidRPr="004E6171">
        <w:rPr>
          <w:rFonts w:ascii="Montserrat" w:hAnsi="Montserrat"/>
          <w:b/>
          <w:bCs/>
        </w:rPr>
        <w:t>Relative Vaccine Effectiveness of Cell-Based Versus Egg-Based Quadrivalent Influenza Vaccines Against Test-Confirmed Influenza in the United States 2022-23 Influenza Season</w:t>
      </w:r>
      <w:r w:rsidRPr="004E6171">
        <w:rPr>
          <w:rStyle w:val="EndnoteReference"/>
          <w:rFonts w:ascii="Montserrat" w:hAnsi="Montserrat" w:cstheme="minorBidi"/>
          <w:b/>
          <w:bCs/>
        </w:rPr>
        <w:endnoteReference w:id="3"/>
      </w:r>
    </w:p>
    <w:p w14:paraId="01909084" w14:textId="77777777" w:rsidR="007E6A7C" w:rsidRPr="004E6171" w:rsidRDefault="007E6A7C" w:rsidP="007E6A7C">
      <w:pPr>
        <w:ind w:right="109"/>
        <w:rPr>
          <w:rFonts w:ascii="Montserrat" w:hAnsi="Montserrat"/>
          <w:color w:val="000000"/>
        </w:rPr>
      </w:pPr>
      <w:r w:rsidRPr="004E6171">
        <w:rPr>
          <w:rFonts w:ascii="Montserrat" w:hAnsi="Montserrat"/>
          <w:color w:val="000000"/>
        </w:rPr>
        <w:t xml:space="preserve">Researchers applied a retrospective test-negative design among individuals aged 6 months to 64 years vaccinated with either </w:t>
      </w:r>
      <w:proofErr w:type="spellStart"/>
      <w:r w:rsidRPr="004E6171">
        <w:rPr>
          <w:rFonts w:ascii="Montserrat" w:hAnsi="Montserrat"/>
          <w:color w:val="000000"/>
        </w:rPr>
        <w:t>QIVc</w:t>
      </w:r>
      <w:proofErr w:type="spellEnd"/>
      <w:r w:rsidRPr="004E6171">
        <w:rPr>
          <w:rFonts w:ascii="Montserrat" w:hAnsi="Montserrat"/>
          <w:color w:val="000000"/>
        </w:rPr>
        <w:t xml:space="preserve"> or </w:t>
      </w:r>
      <w:proofErr w:type="spellStart"/>
      <w:r w:rsidRPr="004E6171">
        <w:rPr>
          <w:rFonts w:ascii="Montserrat" w:hAnsi="Montserrat"/>
          <w:color w:val="000000"/>
        </w:rPr>
        <w:t>QIVe</w:t>
      </w:r>
      <w:proofErr w:type="spellEnd"/>
      <w:r w:rsidRPr="004E6171">
        <w:rPr>
          <w:rFonts w:ascii="Montserrat" w:hAnsi="Montserrat"/>
          <w:color w:val="000000"/>
        </w:rPr>
        <w:t xml:space="preserve"> in 2022-23 and who had an influenza test obtained in routine outpatient care within +/- 7 days of a documented acute respiratory or febrile illness. Exposure, outcome, and covariate data were obtained from outpatient electronic health records linked to pharmacy and medical claims. </w:t>
      </w:r>
    </w:p>
    <w:p w14:paraId="2204CC08" w14:textId="77777777" w:rsidR="007E6A7C" w:rsidRPr="004E6171" w:rsidRDefault="007E6A7C" w:rsidP="007E6A7C">
      <w:pPr>
        <w:ind w:right="109"/>
        <w:rPr>
          <w:rFonts w:ascii="Montserrat" w:hAnsi="Montserrat"/>
          <w:color w:val="000000"/>
        </w:rPr>
      </w:pPr>
    </w:p>
    <w:p w14:paraId="2D140B9A" w14:textId="77777777" w:rsidR="007E6A7C" w:rsidRPr="004E6171" w:rsidRDefault="007E6A7C" w:rsidP="007E6A7C">
      <w:pPr>
        <w:ind w:right="109"/>
        <w:rPr>
          <w:rFonts w:ascii="Montserrat" w:hAnsi="Montserrat"/>
          <w:color w:val="000000"/>
        </w:rPr>
      </w:pPr>
      <w:proofErr w:type="spellStart"/>
      <w:r w:rsidRPr="004E6171">
        <w:rPr>
          <w:rFonts w:ascii="Montserrat" w:hAnsi="Montserrat"/>
          <w:color w:val="000000"/>
        </w:rPr>
        <w:t>rVE</w:t>
      </w:r>
      <w:proofErr w:type="spellEnd"/>
      <w:r w:rsidRPr="004E6171">
        <w:rPr>
          <w:rFonts w:ascii="Montserrat" w:hAnsi="Montserrat"/>
          <w:color w:val="000000"/>
        </w:rPr>
        <w:t xml:space="preserve"> was</w:t>
      </w:r>
      <w:r w:rsidRPr="004E6171" w:rsidDel="00476351">
        <w:rPr>
          <w:rFonts w:ascii="Montserrat" w:hAnsi="Montserrat"/>
          <w:color w:val="000000"/>
        </w:rPr>
        <w:t xml:space="preserve"> </w:t>
      </w:r>
      <w:r w:rsidRPr="004E6171">
        <w:rPr>
          <w:rFonts w:ascii="Montserrat" w:hAnsi="Montserrat"/>
          <w:color w:val="000000"/>
        </w:rPr>
        <w:t xml:space="preserve">calculated by comparing the odds of testing positive for influenza among </w:t>
      </w:r>
      <w:proofErr w:type="spellStart"/>
      <w:r w:rsidRPr="004E6171">
        <w:rPr>
          <w:rFonts w:ascii="Montserrat" w:hAnsi="Montserrat"/>
          <w:color w:val="000000"/>
        </w:rPr>
        <w:t>QIVc</w:t>
      </w:r>
      <w:proofErr w:type="spellEnd"/>
      <w:r w:rsidRPr="004E6171">
        <w:rPr>
          <w:rFonts w:ascii="Montserrat" w:hAnsi="Montserrat"/>
          <w:color w:val="000000"/>
        </w:rPr>
        <w:t xml:space="preserve"> recipients with the odds among </w:t>
      </w:r>
      <w:proofErr w:type="spellStart"/>
      <w:r w:rsidRPr="004E6171">
        <w:rPr>
          <w:rFonts w:ascii="Montserrat" w:hAnsi="Montserrat"/>
          <w:color w:val="000000"/>
        </w:rPr>
        <w:t>QIVe</w:t>
      </w:r>
      <w:proofErr w:type="spellEnd"/>
      <w:r w:rsidRPr="004E6171">
        <w:rPr>
          <w:rFonts w:ascii="Montserrat" w:hAnsi="Montserrat"/>
          <w:color w:val="000000"/>
        </w:rPr>
        <w:t xml:space="preserve"> recipients, using a doubly robust analysis that combined inverse probability of treatment weighting with multivariable adjustment. The study included 43,086 tested patients, of whom 18.6% received </w:t>
      </w:r>
      <w:proofErr w:type="spellStart"/>
      <w:r w:rsidRPr="004E6171">
        <w:rPr>
          <w:rFonts w:ascii="Montserrat" w:hAnsi="Montserrat"/>
          <w:color w:val="000000"/>
        </w:rPr>
        <w:t>QIVc</w:t>
      </w:r>
      <w:proofErr w:type="spellEnd"/>
      <w:r w:rsidRPr="004E6171">
        <w:rPr>
          <w:rFonts w:ascii="Montserrat" w:hAnsi="Montserrat"/>
          <w:color w:val="000000"/>
        </w:rPr>
        <w:t xml:space="preserve"> and 81.4% received </w:t>
      </w:r>
      <w:proofErr w:type="spellStart"/>
      <w:r w:rsidRPr="004E6171">
        <w:rPr>
          <w:rFonts w:ascii="Montserrat" w:hAnsi="Montserrat"/>
          <w:color w:val="000000"/>
        </w:rPr>
        <w:t>QIVe</w:t>
      </w:r>
      <w:proofErr w:type="spellEnd"/>
      <w:r w:rsidRPr="004E6171">
        <w:rPr>
          <w:rFonts w:ascii="Montserrat" w:hAnsi="Montserrat"/>
          <w:color w:val="000000"/>
        </w:rPr>
        <w:t xml:space="preserve">. </w:t>
      </w:r>
    </w:p>
    <w:p w14:paraId="750DD6DD" w14:textId="77777777" w:rsidR="007E6A7C" w:rsidRPr="004E6171" w:rsidRDefault="007E6A7C" w:rsidP="007E6A7C">
      <w:pPr>
        <w:ind w:right="109"/>
        <w:rPr>
          <w:rFonts w:ascii="Montserrat" w:hAnsi="Montserrat"/>
          <w:color w:val="000000"/>
        </w:rPr>
      </w:pPr>
    </w:p>
    <w:p w14:paraId="1D16DEB6" w14:textId="6A77F686" w:rsidR="007E6A7C" w:rsidRPr="009E46F7" w:rsidRDefault="007E6A7C" w:rsidP="007E6A7C">
      <w:pPr>
        <w:ind w:right="109"/>
        <w:rPr>
          <w:rFonts w:ascii="Montserrat" w:hAnsi="Montserrat"/>
          <w:color w:val="000000"/>
        </w:rPr>
      </w:pPr>
      <w:proofErr w:type="spellStart"/>
      <w:r w:rsidRPr="004E6171">
        <w:rPr>
          <w:rFonts w:ascii="Montserrat" w:hAnsi="Montserrat"/>
          <w:color w:val="000000" w:themeColor="text1"/>
        </w:rPr>
        <w:t>QIVc</w:t>
      </w:r>
      <w:proofErr w:type="spellEnd"/>
      <w:r w:rsidRPr="004E6171">
        <w:rPr>
          <w:rFonts w:ascii="Montserrat" w:hAnsi="Montserrat"/>
          <w:color w:val="000000" w:themeColor="text1"/>
        </w:rPr>
        <w:t xml:space="preserve"> was generally more effective than </w:t>
      </w:r>
      <w:proofErr w:type="spellStart"/>
      <w:r w:rsidRPr="004E6171">
        <w:rPr>
          <w:rFonts w:ascii="Montserrat" w:hAnsi="Montserrat"/>
          <w:color w:val="000000" w:themeColor="text1"/>
        </w:rPr>
        <w:t>QIVe</w:t>
      </w:r>
      <w:proofErr w:type="spellEnd"/>
      <w:r w:rsidRPr="004E6171">
        <w:rPr>
          <w:rFonts w:ascii="Montserrat" w:hAnsi="Montserrat"/>
          <w:color w:val="000000" w:themeColor="text1"/>
        </w:rPr>
        <w:t xml:space="preserve"> in preventing test-confirmed influenza in the outpatient care setting, with an estimated </w:t>
      </w:r>
      <w:proofErr w:type="spellStart"/>
      <w:r w:rsidRPr="004E6171">
        <w:rPr>
          <w:rFonts w:ascii="Montserrat" w:hAnsi="Montserrat"/>
          <w:color w:val="000000" w:themeColor="text1"/>
        </w:rPr>
        <w:t>rVE</w:t>
      </w:r>
      <w:proofErr w:type="spellEnd"/>
      <w:r w:rsidRPr="004E6171">
        <w:rPr>
          <w:rFonts w:ascii="Montserrat" w:hAnsi="Montserrat"/>
          <w:color w:val="000000" w:themeColor="text1"/>
        </w:rPr>
        <w:t xml:space="preserve"> of 7.7% (95% CI: 0.9% – 13.9%).</w:t>
      </w:r>
    </w:p>
    <w:p w14:paraId="116AB028" w14:textId="68A34A55" w:rsidR="007E6A7C" w:rsidRPr="004E6171" w:rsidRDefault="007E6A7C" w:rsidP="007E6A7C">
      <w:pPr>
        <w:ind w:right="109"/>
        <w:rPr>
          <w:rFonts w:ascii="Montserrat" w:hAnsi="Montserrat"/>
        </w:rPr>
      </w:pPr>
      <w:r w:rsidRPr="004E6171">
        <w:rPr>
          <w:rFonts w:ascii="Montserrat" w:eastAsia="Montserrat Light" w:hAnsi="Montserrat" w:cs="Montserrat Light"/>
        </w:rPr>
        <w:lastRenderedPageBreak/>
        <w:t xml:space="preserve">This study showed increased relative effectiveness of </w:t>
      </w:r>
      <w:proofErr w:type="spellStart"/>
      <w:r w:rsidRPr="004E6171">
        <w:rPr>
          <w:rFonts w:ascii="Montserrat" w:eastAsia="Montserrat Light" w:hAnsi="Montserrat" w:cs="Montserrat Light"/>
        </w:rPr>
        <w:t>QIVc</w:t>
      </w:r>
      <w:proofErr w:type="spellEnd"/>
      <w:r w:rsidRPr="004E6171">
        <w:rPr>
          <w:rFonts w:ascii="Montserrat" w:eastAsia="Montserrat Light" w:hAnsi="Montserrat" w:cs="Montserrat Light"/>
        </w:rPr>
        <w:t xml:space="preserve"> compared to </w:t>
      </w:r>
      <w:proofErr w:type="spellStart"/>
      <w:r w:rsidRPr="004E6171">
        <w:rPr>
          <w:rFonts w:ascii="Montserrat" w:eastAsia="Montserrat Light" w:hAnsi="Montserrat" w:cs="Montserrat Light"/>
        </w:rPr>
        <w:t>QIVe</w:t>
      </w:r>
      <w:proofErr w:type="spellEnd"/>
      <w:r w:rsidRPr="004E6171">
        <w:rPr>
          <w:rFonts w:ascii="Montserrat" w:eastAsia="Montserrat Light" w:hAnsi="Montserrat" w:cs="Montserrat Light"/>
        </w:rPr>
        <w:t xml:space="preserve"> in preventing outpatient test-confirmed influenza in the population aged 6 months to 64 years during the 2022-23 season in the United States. These findings add to the body of evidence supporting improved effectiveness of cell-based versus egg-based vaccines</w:t>
      </w:r>
      <w:r w:rsidRPr="004E6171">
        <w:rPr>
          <w:rFonts w:ascii="Montserrat" w:hAnsi="Montserrat"/>
        </w:rPr>
        <w:t xml:space="preserve">. </w:t>
      </w:r>
    </w:p>
    <w:p w14:paraId="44F49F4F" w14:textId="77777777" w:rsidR="007E6A7C" w:rsidRPr="004E6171" w:rsidRDefault="007E6A7C" w:rsidP="007E6A7C">
      <w:pPr>
        <w:ind w:right="109"/>
        <w:rPr>
          <w:rFonts w:ascii="Montserrat" w:hAnsi="Montserrat"/>
        </w:rPr>
      </w:pPr>
    </w:p>
    <w:p w14:paraId="77907D0D" w14:textId="4BE046EB" w:rsidR="007E6A7C" w:rsidRPr="004E6171" w:rsidRDefault="007E6A7C" w:rsidP="007E6A7C">
      <w:pPr>
        <w:rPr>
          <w:rFonts w:ascii="Montserrat" w:hAnsi="Montserrat"/>
          <w:b/>
          <w:bCs/>
        </w:rPr>
      </w:pPr>
      <w:r w:rsidRPr="004E6171">
        <w:rPr>
          <w:rFonts w:ascii="Montserrat" w:hAnsi="Montserrat"/>
          <w:b/>
          <w:bCs/>
        </w:rPr>
        <w:t>Relative Effectiveness of Cell-Based Influenza Vaccines versus Egg-Based Influenza Vaccines: A Review of Test-Confirmed and Clinical Diagnosis-Based Outcomes</w:t>
      </w:r>
      <w:r w:rsidRPr="004E6171">
        <w:rPr>
          <w:rStyle w:val="EndnoteReference"/>
          <w:rFonts w:ascii="Montserrat" w:hAnsi="Montserrat" w:cstheme="minorBidi"/>
          <w:b/>
          <w:bCs/>
        </w:rPr>
        <w:endnoteReference w:id="4"/>
      </w:r>
    </w:p>
    <w:p w14:paraId="7D1A5660" w14:textId="4DBC550A" w:rsidR="007E6A7C" w:rsidRPr="004E6171" w:rsidRDefault="007E6A7C" w:rsidP="007E6A7C">
      <w:pPr>
        <w:ind w:right="109"/>
        <w:rPr>
          <w:rFonts w:ascii="Montserrat" w:hAnsi="Montserrat"/>
          <w:color w:val="000000"/>
        </w:rPr>
      </w:pPr>
      <w:r w:rsidRPr="004E6171">
        <w:rPr>
          <w:rFonts w:ascii="Montserrat" w:hAnsi="Montserrat"/>
          <w:color w:val="000000"/>
        </w:rPr>
        <w:t xml:space="preserve">Researchers identified </w:t>
      </w:r>
      <w:r w:rsidR="00ED7FFB">
        <w:rPr>
          <w:rFonts w:ascii="Montserrat" w:hAnsi="Montserrat"/>
          <w:color w:val="000000"/>
        </w:rPr>
        <w:t xml:space="preserve">10 </w:t>
      </w:r>
      <w:r w:rsidRPr="004E6171">
        <w:rPr>
          <w:rFonts w:ascii="Montserrat" w:hAnsi="Montserrat"/>
          <w:color w:val="000000"/>
        </w:rPr>
        <w:t xml:space="preserve">studies reporting on the </w:t>
      </w:r>
      <w:proofErr w:type="spellStart"/>
      <w:r w:rsidRPr="004E6171">
        <w:rPr>
          <w:rFonts w:ascii="Montserrat" w:hAnsi="Montserrat"/>
          <w:color w:val="000000"/>
        </w:rPr>
        <w:t>rVE</w:t>
      </w:r>
      <w:proofErr w:type="spellEnd"/>
      <w:r w:rsidRPr="004E6171">
        <w:rPr>
          <w:rFonts w:ascii="Montserrat" w:hAnsi="Montserrat"/>
          <w:color w:val="000000"/>
        </w:rPr>
        <w:t xml:space="preserve"> of </w:t>
      </w:r>
      <w:proofErr w:type="spellStart"/>
      <w:r w:rsidRPr="004E6171">
        <w:rPr>
          <w:rFonts w:ascii="Montserrat" w:hAnsi="Montserrat"/>
          <w:color w:val="000000"/>
        </w:rPr>
        <w:t>QIVc</w:t>
      </w:r>
      <w:proofErr w:type="spellEnd"/>
      <w:r w:rsidRPr="004E6171">
        <w:rPr>
          <w:rFonts w:ascii="Montserrat" w:hAnsi="Montserrat"/>
          <w:color w:val="000000"/>
        </w:rPr>
        <w:t xml:space="preserve"> vs </w:t>
      </w:r>
      <w:proofErr w:type="spellStart"/>
      <w:r w:rsidRPr="004E6171">
        <w:rPr>
          <w:rFonts w:ascii="Montserrat" w:hAnsi="Montserrat"/>
          <w:color w:val="000000"/>
        </w:rPr>
        <w:t>QIVe</w:t>
      </w:r>
      <w:proofErr w:type="spellEnd"/>
      <w:r w:rsidRPr="004E6171">
        <w:rPr>
          <w:rFonts w:ascii="Montserrat" w:hAnsi="Montserrat"/>
          <w:color w:val="000000"/>
        </w:rPr>
        <w:t>/</w:t>
      </w:r>
      <w:proofErr w:type="spellStart"/>
      <w:r w:rsidRPr="004E6171">
        <w:rPr>
          <w:rFonts w:ascii="Montserrat" w:hAnsi="Montserrat"/>
          <w:color w:val="000000"/>
        </w:rPr>
        <w:t>TIVe</w:t>
      </w:r>
      <w:proofErr w:type="spellEnd"/>
      <w:r w:rsidRPr="004E6171">
        <w:rPr>
          <w:rFonts w:ascii="Montserrat" w:hAnsi="Montserrat"/>
          <w:color w:val="000000"/>
        </w:rPr>
        <w:t xml:space="preserve"> among persons aged 4–64 years from a prior systematic literature review (PROSPERO CRD42020160851) that included studies published between 01-January-2016 and 25-February-2022. Additionally, a scoping review was conducted to identify additional studies published between 25-February-2022 and 01-March-2024. A </w:t>
      </w:r>
      <w:proofErr w:type="spellStart"/>
      <w:r w:rsidRPr="004E6171">
        <w:rPr>
          <w:rFonts w:ascii="Montserrat" w:hAnsi="Montserrat"/>
          <w:color w:val="000000"/>
        </w:rPr>
        <w:t>DerSimonian</w:t>
      </w:r>
      <w:proofErr w:type="spellEnd"/>
      <w:r w:rsidRPr="004E6171">
        <w:rPr>
          <w:rFonts w:ascii="Montserrat" w:hAnsi="Montserrat"/>
          <w:color w:val="000000"/>
        </w:rPr>
        <w:t xml:space="preserve"> and Laird random effects model was applied for the meta-analyses of these data. </w:t>
      </w:r>
    </w:p>
    <w:p w14:paraId="7670AE69" w14:textId="77777777" w:rsidR="007E6A7C" w:rsidRPr="004E6171" w:rsidRDefault="007E6A7C" w:rsidP="007E6A7C">
      <w:pPr>
        <w:ind w:right="109"/>
        <w:rPr>
          <w:rFonts w:ascii="Montserrat" w:hAnsi="Montserrat"/>
          <w:color w:val="000000"/>
        </w:rPr>
      </w:pPr>
    </w:p>
    <w:p w14:paraId="5BDFF6FE" w14:textId="77777777" w:rsidR="007E6A7C" w:rsidRPr="004E6171" w:rsidRDefault="007E6A7C" w:rsidP="007E6A7C">
      <w:pPr>
        <w:ind w:right="109"/>
        <w:rPr>
          <w:rFonts w:ascii="Montserrat" w:hAnsi="Montserrat"/>
          <w:color w:val="000000"/>
        </w:rPr>
      </w:pPr>
      <w:r w:rsidRPr="004E6171">
        <w:rPr>
          <w:rFonts w:ascii="Montserrat" w:hAnsi="Montserrat"/>
          <w:color w:val="000000"/>
        </w:rPr>
        <w:t xml:space="preserve">Among persons aged 4–64 years, the pooled </w:t>
      </w:r>
      <w:proofErr w:type="spellStart"/>
      <w:r w:rsidRPr="004E6171">
        <w:rPr>
          <w:rFonts w:ascii="Montserrat" w:hAnsi="Montserrat"/>
          <w:color w:val="000000"/>
        </w:rPr>
        <w:t>rVE</w:t>
      </w:r>
      <w:proofErr w:type="spellEnd"/>
      <w:r w:rsidRPr="004E6171">
        <w:rPr>
          <w:rFonts w:ascii="Montserrat" w:hAnsi="Montserrat"/>
          <w:color w:val="000000"/>
        </w:rPr>
        <w:t xml:space="preserve"> demonstrated a consistent benefit of </w:t>
      </w:r>
      <w:proofErr w:type="spellStart"/>
      <w:r w:rsidRPr="004E6171">
        <w:rPr>
          <w:rFonts w:ascii="Montserrat" w:hAnsi="Montserrat"/>
          <w:color w:val="000000"/>
        </w:rPr>
        <w:t>QIVc</w:t>
      </w:r>
      <w:proofErr w:type="spellEnd"/>
      <w:r w:rsidRPr="004E6171">
        <w:rPr>
          <w:rFonts w:ascii="Montserrat" w:hAnsi="Montserrat"/>
          <w:color w:val="000000"/>
        </w:rPr>
        <w:t xml:space="preserve"> for both outcome types, with estimates of 11.9% (95% CI, 3.0%–20%; n studies=3) for 2017–2018, 11.8% (4.2%–19.4%; n=2) for 2018–2019, and 10.0% (2.7%–16.7%; n=1) for 2019–2020 in preventing test-confirmed influenza and 18.7% (8.7%–27.6%; n=2) for 2017–2018, 5.9% (4.3%–7.5%; n=2) for 2018–2019, and 10.1% (6.1%–14.0%; n=2) for 2019–2020 in preventing clinically diagnosed influenza.</w:t>
      </w:r>
    </w:p>
    <w:p w14:paraId="3A134A10" w14:textId="77777777" w:rsidR="007E6A7C" w:rsidRPr="004E6171" w:rsidRDefault="007E6A7C" w:rsidP="007E6A7C">
      <w:pPr>
        <w:ind w:right="109"/>
        <w:rPr>
          <w:rFonts w:ascii="Montserrat" w:hAnsi="Montserrat"/>
          <w:color w:val="000000"/>
        </w:rPr>
      </w:pPr>
    </w:p>
    <w:p w14:paraId="110D0ED9" w14:textId="05908DDF" w:rsidR="007E6A7C" w:rsidRPr="004E6171" w:rsidRDefault="007E6A7C" w:rsidP="007E6A7C">
      <w:pPr>
        <w:ind w:right="109"/>
        <w:rPr>
          <w:rFonts w:ascii="Montserrat" w:hAnsi="Montserrat"/>
          <w:color w:val="000000"/>
        </w:rPr>
      </w:pPr>
      <w:r w:rsidRPr="004E6171">
        <w:rPr>
          <w:rFonts w:ascii="Montserrat" w:hAnsi="Montserrat"/>
          <w:color w:val="000000"/>
        </w:rPr>
        <w:t xml:space="preserve">Researchers found that for persons aged 4–64 years, </w:t>
      </w:r>
      <w:proofErr w:type="spellStart"/>
      <w:r w:rsidRPr="004E6171">
        <w:rPr>
          <w:rFonts w:ascii="Montserrat" w:hAnsi="Montserrat"/>
          <w:color w:val="000000"/>
        </w:rPr>
        <w:t>QIVc</w:t>
      </w:r>
      <w:proofErr w:type="spellEnd"/>
      <w:r w:rsidRPr="004E6171">
        <w:rPr>
          <w:rFonts w:ascii="Montserrat" w:hAnsi="Montserrat"/>
          <w:color w:val="000000"/>
        </w:rPr>
        <w:t xml:space="preserve"> showed increased effectiveness over </w:t>
      </w:r>
      <w:proofErr w:type="spellStart"/>
      <w:r w:rsidRPr="004E6171">
        <w:rPr>
          <w:rFonts w:ascii="Montserrat" w:hAnsi="Montserrat"/>
          <w:color w:val="000000"/>
        </w:rPr>
        <w:t>QIVe</w:t>
      </w:r>
      <w:proofErr w:type="spellEnd"/>
      <w:r w:rsidRPr="004E6171">
        <w:rPr>
          <w:rFonts w:ascii="Montserrat" w:hAnsi="Montserrat"/>
          <w:color w:val="000000"/>
        </w:rPr>
        <w:t>/</w:t>
      </w:r>
      <w:proofErr w:type="spellStart"/>
      <w:r w:rsidRPr="004E6171">
        <w:rPr>
          <w:rFonts w:ascii="Montserrat" w:hAnsi="Montserrat"/>
          <w:color w:val="000000"/>
        </w:rPr>
        <w:t>TIVe</w:t>
      </w:r>
      <w:proofErr w:type="spellEnd"/>
      <w:r w:rsidRPr="004E6171">
        <w:rPr>
          <w:rFonts w:ascii="Montserrat" w:hAnsi="Montserrat"/>
          <w:color w:val="000000"/>
        </w:rPr>
        <w:t xml:space="preserve"> across the three influenza seasons for both test-confirmed influenza and clinically diagnosed influenza. The results do not suggest systematic over or underestimation of </w:t>
      </w:r>
      <w:proofErr w:type="spellStart"/>
      <w:r w:rsidRPr="004E6171">
        <w:rPr>
          <w:rFonts w:ascii="Montserrat" w:hAnsi="Montserrat"/>
          <w:color w:val="000000"/>
        </w:rPr>
        <w:t>rVE</w:t>
      </w:r>
      <w:proofErr w:type="spellEnd"/>
      <w:r w:rsidRPr="004E6171">
        <w:rPr>
          <w:rFonts w:ascii="Montserrat" w:hAnsi="Montserrat"/>
          <w:color w:val="000000"/>
        </w:rPr>
        <w:t xml:space="preserve"> for prevention of clinically diagnosed compared to test-confirmed influenza.</w:t>
      </w:r>
    </w:p>
    <w:p w14:paraId="3CFF55CD" w14:textId="77777777" w:rsidR="007E6A7C" w:rsidRPr="004E6171" w:rsidRDefault="007E6A7C" w:rsidP="007E6A7C">
      <w:pPr>
        <w:rPr>
          <w:rFonts w:ascii="Montserrat" w:hAnsi="Montserrat"/>
        </w:rPr>
      </w:pPr>
    </w:p>
    <w:p w14:paraId="2A8B7171" w14:textId="526E94F3" w:rsidR="007E6A7C" w:rsidRPr="004E6171" w:rsidRDefault="007E6A7C" w:rsidP="007E6A7C">
      <w:pPr>
        <w:rPr>
          <w:rFonts w:ascii="Montserrat" w:hAnsi="Montserrat"/>
          <w:b/>
          <w:bCs/>
        </w:rPr>
      </w:pPr>
      <w:r w:rsidRPr="004E6171">
        <w:rPr>
          <w:rFonts w:ascii="Montserrat" w:hAnsi="Montserrat"/>
          <w:b/>
          <w:bCs/>
        </w:rPr>
        <w:t>Estimated Additional Burden Averted for the 2022-2023 influenza season from Use of Cell-Based Influenza Vaccines Compared to Egg-Based Influenza Vaccines Among People 0-64 Years of Age in the United States</w:t>
      </w:r>
      <w:r w:rsidRPr="004E6171">
        <w:rPr>
          <w:rStyle w:val="EndnoteReference"/>
          <w:rFonts w:ascii="Montserrat" w:hAnsi="Montserrat" w:cstheme="minorBidi"/>
          <w:b/>
          <w:bCs/>
        </w:rPr>
        <w:endnoteReference w:id="5"/>
      </w:r>
    </w:p>
    <w:p w14:paraId="428BB8F8" w14:textId="77777777" w:rsidR="007E6A7C" w:rsidRPr="004E6171" w:rsidRDefault="007E6A7C" w:rsidP="007E6A7C">
      <w:pPr>
        <w:rPr>
          <w:rFonts w:ascii="Montserrat" w:hAnsi="Montserrat"/>
        </w:rPr>
      </w:pPr>
      <w:r w:rsidRPr="004E6171">
        <w:rPr>
          <w:rFonts w:ascii="Montserrat" w:hAnsi="Montserrat"/>
        </w:rPr>
        <w:t>Researchers analyzed overall burden averted due to influenza vaccination via a CDC modeling method extended to a relative VE (</w:t>
      </w:r>
      <w:proofErr w:type="spellStart"/>
      <w:r w:rsidRPr="004E6171">
        <w:rPr>
          <w:rFonts w:ascii="Montserrat" w:hAnsi="Montserrat"/>
        </w:rPr>
        <w:t>rVE</w:t>
      </w:r>
      <w:proofErr w:type="spellEnd"/>
      <w:r w:rsidRPr="004E6171">
        <w:rPr>
          <w:rFonts w:ascii="Montserrat" w:hAnsi="Montserrat"/>
        </w:rPr>
        <w:t xml:space="preserve">) context. The model utilized 2022-2023 CDC data on influenza vaccine uptake, influenza incidence, influenza-related healthcare resource (HRU) use and deaths. </w:t>
      </w:r>
    </w:p>
    <w:p w14:paraId="0543CF6C" w14:textId="77777777" w:rsidR="007E6A7C" w:rsidRPr="004E6171" w:rsidRDefault="007E6A7C" w:rsidP="007E6A7C">
      <w:pPr>
        <w:rPr>
          <w:rFonts w:ascii="Montserrat" w:hAnsi="Montserrat"/>
        </w:rPr>
      </w:pPr>
    </w:p>
    <w:p w14:paraId="15792719" w14:textId="77777777" w:rsidR="007E6A7C" w:rsidRPr="004E6171" w:rsidRDefault="007E6A7C" w:rsidP="007E6A7C">
      <w:pPr>
        <w:rPr>
          <w:rFonts w:ascii="Montserrat" w:hAnsi="Montserrat"/>
        </w:rPr>
      </w:pPr>
      <w:r w:rsidRPr="004E6171">
        <w:rPr>
          <w:rFonts w:ascii="Montserrat" w:hAnsi="Montserrat"/>
        </w:rPr>
        <w:t>CDC estimates of the absolute VE (</w:t>
      </w:r>
      <w:proofErr w:type="spellStart"/>
      <w:r w:rsidRPr="004E6171">
        <w:rPr>
          <w:rFonts w:ascii="Montserrat" w:hAnsi="Montserrat"/>
        </w:rPr>
        <w:t>aVE</w:t>
      </w:r>
      <w:proofErr w:type="spellEnd"/>
      <w:r w:rsidRPr="004E6171">
        <w:rPr>
          <w:rFonts w:ascii="Montserrat" w:hAnsi="Montserrat"/>
        </w:rPr>
        <w:t xml:space="preserve">) (any vaccine) were used as the </w:t>
      </w:r>
      <w:proofErr w:type="spellStart"/>
      <w:r w:rsidRPr="004E6171">
        <w:rPr>
          <w:rFonts w:ascii="Montserrat" w:hAnsi="Montserrat"/>
        </w:rPr>
        <w:t>aVE</w:t>
      </w:r>
      <w:proofErr w:type="spellEnd"/>
      <w:r w:rsidRPr="004E6171">
        <w:rPr>
          <w:rFonts w:ascii="Montserrat" w:hAnsi="Montserrat"/>
        </w:rPr>
        <w:t xml:space="preserve"> of IIV4. A </w:t>
      </w:r>
      <w:proofErr w:type="spellStart"/>
      <w:r w:rsidRPr="004E6171">
        <w:rPr>
          <w:rFonts w:ascii="Montserrat" w:hAnsi="Montserrat"/>
        </w:rPr>
        <w:t>rVE</w:t>
      </w:r>
      <w:proofErr w:type="spellEnd"/>
      <w:r w:rsidRPr="004E6171">
        <w:rPr>
          <w:rFonts w:ascii="Montserrat" w:hAnsi="Montserrat"/>
        </w:rPr>
        <w:t xml:space="preserve"> of 7.7%, estimated in a 2022-2023 retrospective test-negative design study, was applied.</w:t>
      </w:r>
    </w:p>
    <w:p w14:paraId="63DD9AC9" w14:textId="77777777" w:rsidR="007E6A7C" w:rsidRPr="004E6171" w:rsidRDefault="007E6A7C" w:rsidP="007E6A7C">
      <w:pPr>
        <w:rPr>
          <w:rFonts w:ascii="Montserrat" w:hAnsi="Montserrat"/>
        </w:rPr>
      </w:pPr>
    </w:p>
    <w:p w14:paraId="4787ED68" w14:textId="050E0084" w:rsidR="007E6A7C" w:rsidRPr="004E6171" w:rsidRDefault="007E6A7C" w:rsidP="007E6A7C">
      <w:pPr>
        <w:rPr>
          <w:rFonts w:ascii="Montserrat" w:hAnsi="Montserrat"/>
        </w:rPr>
      </w:pPr>
      <w:r w:rsidRPr="004E6171">
        <w:rPr>
          <w:rFonts w:ascii="Montserrat" w:hAnsi="Montserrat"/>
        </w:rPr>
        <w:t xml:space="preserve">Results suggested that the use of ccIIV4 instead of IIV4 during the 2022-2023 flu season in the U.S. could have averted an additional 622,826 symptomatic cases, 307,682 outpatient visits, 3,680 hospitalizations, 559 ICU admissions, and 127 deaths, indicating a significant </w:t>
      </w:r>
      <w:r w:rsidR="00493B96">
        <w:rPr>
          <w:rFonts w:ascii="Montserrat" w:hAnsi="Montserrat"/>
        </w:rPr>
        <w:t xml:space="preserve">potential </w:t>
      </w:r>
      <w:r w:rsidRPr="004E6171">
        <w:rPr>
          <w:rFonts w:ascii="Montserrat" w:hAnsi="Montserrat"/>
        </w:rPr>
        <w:t xml:space="preserve">reduction in influenza's impact. </w:t>
      </w:r>
    </w:p>
    <w:p w14:paraId="44AB8732" w14:textId="77777777" w:rsidR="007E6A7C" w:rsidRPr="004E6171" w:rsidRDefault="007E6A7C" w:rsidP="007E6A7C">
      <w:pPr>
        <w:rPr>
          <w:rFonts w:ascii="Montserrat" w:hAnsi="Montserrat"/>
        </w:rPr>
      </w:pPr>
    </w:p>
    <w:p w14:paraId="036E6FE5" w14:textId="3B79E7D0" w:rsidR="007E6A7C" w:rsidRPr="004E6171" w:rsidRDefault="007E6A7C" w:rsidP="007E6A7C">
      <w:pPr>
        <w:rPr>
          <w:rFonts w:ascii="Montserrat" w:hAnsi="Montserrat"/>
          <w:b/>
          <w:bCs/>
        </w:rPr>
      </w:pPr>
      <w:r w:rsidRPr="004E6171">
        <w:rPr>
          <w:rFonts w:ascii="Montserrat" w:hAnsi="Montserrat"/>
          <w:b/>
          <w:bCs/>
        </w:rPr>
        <w:t>A Clinical and Economic Comparison of Non-Egg Influenza Vaccines in Adults 18-64 Years in the U.S.</w:t>
      </w:r>
      <w:bookmarkStart w:id="1" w:name="_Ref176904660"/>
      <w:r w:rsidR="006B2852" w:rsidRPr="004E6171">
        <w:rPr>
          <w:rStyle w:val="EndnoteReference"/>
          <w:rFonts w:ascii="Montserrat" w:hAnsi="Montserrat"/>
          <w:b/>
          <w:bCs/>
        </w:rPr>
        <w:endnoteReference w:id="6"/>
      </w:r>
      <w:bookmarkEnd w:id="1"/>
      <w:r w:rsidR="006B2852" w:rsidRPr="004E6171">
        <w:rPr>
          <w:rFonts w:ascii="Montserrat" w:hAnsi="Montserrat"/>
          <w:b/>
          <w:bCs/>
        </w:rPr>
        <w:t xml:space="preserve"> </w:t>
      </w:r>
    </w:p>
    <w:p w14:paraId="3EC758CB" w14:textId="77777777" w:rsidR="007E6A7C" w:rsidRPr="004E6171" w:rsidRDefault="007E6A7C" w:rsidP="007E6A7C">
      <w:pPr>
        <w:rPr>
          <w:rFonts w:ascii="Montserrat" w:hAnsi="Montserrat"/>
        </w:rPr>
      </w:pPr>
      <w:r w:rsidRPr="004E6171">
        <w:rPr>
          <w:rFonts w:ascii="Montserrat" w:hAnsi="Montserrat"/>
        </w:rPr>
        <w:t>Researchers used a compartmental dynamic transmission model among individuals aged 18</w:t>
      </w:r>
      <w:r w:rsidRPr="004E6171">
        <w:rPr>
          <w:rFonts w:ascii="Montserrat" w:hAnsi="Montserrat"/>
          <w:color w:val="000000"/>
        </w:rPr>
        <w:t>–</w:t>
      </w:r>
      <w:r w:rsidRPr="004E6171">
        <w:rPr>
          <w:rFonts w:ascii="Montserrat" w:hAnsi="Montserrat"/>
        </w:rPr>
        <w:t xml:space="preserve">64 years, calibrated to match infection data from the U.S., to estimate the clinical and economic impact of </w:t>
      </w:r>
      <w:proofErr w:type="spellStart"/>
      <w:r w:rsidRPr="004E6171">
        <w:rPr>
          <w:rFonts w:ascii="Montserrat" w:hAnsi="Montserrat"/>
        </w:rPr>
        <w:t>QIVc</w:t>
      </w:r>
      <w:proofErr w:type="spellEnd"/>
      <w:r w:rsidRPr="004E6171">
        <w:rPr>
          <w:rFonts w:ascii="Montserrat" w:hAnsi="Montserrat"/>
        </w:rPr>
        <w:t xml:space="preserve"> compared to </w:t>
      </w:r>
      <w:proofErr w:type="spellStart"/>
      <w:r w:rsidRPr="004E6171">
        <w:rPr>
          <w:rFonts w:ascii="Montserrat" w:hAnsi="Montserrat"/>
        </w:rPr>
        <w:t>QIVr</w:t>
      </w:r>
      <w:proofErr w:type="spellEnd"/>
      <w:r w:rsidRPr="004E6171">
        <w:rPr>
          <w:rFonts w:ascii="Montserrat" w:hAnsi="Montserrat"/>
        </w:rPr>
        <w:t xml:space="preserve"> over one influenza season.</w:t>
      </w:r>
      <w:r w:rsidRPr="004E6171">
        <w:t xml:space="preserve"> </w:t>
      </w:r>
      <w:r w:rsidRPr="004E6171">
        <w:rPr>
          <w:rFonts w:ascii="Montserrat" w:hAnsi="Montserrat"/>
        </w:rPr>
        <w:lastRenderedPageBreak/>
        <w:t>Epidemiological data and vaccination coverage rate were obtained from CDC official databases. Vaccine effectiveness data against outpatient visits and hospitalizations, were obtained from published U.S. observational studies including outpatient and hospital setting outcomes (2018-19 and 2019-20 seasons).</w:t>
      </w:r>
    </w:p>
    <w:p w14:paraId="00A62ADB" w14:textId="77777777" w:rsidR="007E6A7C" w:rsidRPr="004E6171" w:rsidRDefault="007E6A7C" w:rsidP="007E6A7C">
      <w:pPr>
        <w:rPr>
          <w:rFonts w:ascii="Montserrat" w:hAnsi="Montserrat"/>
        </w:rPr>
      </w:pPr>
    </w:p>
    <w:p w14:paraId="01C6D580" w14:textId="1CC3E9E5" w:rsidR="007E6A7C" w:rsidRPr="004E6171" w:rsidRDefault="007E6A7C" w:rsidP="007E6A7C">
      <w:pPr>
        <w:rPr>
          <w:rFonts w:ascii="Montserrat" w:hAnsi="Montserrat"/>
        </w:rPr>
      </w:pPr>
      <w:r w:rsidRPr="004E6171">
        <w:rPr>
          <w:rFonts w:ascii="Montserrat" w:hAnsi="Montserrat"/>
        </w:rPr>
        <w:t xml:space="preserve">The study showed that </w:t>
      </w:r>
      <w:proofErr w:type="spellStart"/>
      <w:r w:rsidRPr="004E6171">
        <w:rPr>
          <w:rFonts w:ascii="Montserrat" w:hAnsi="Montserrat"/>
        </w:rPr>
        <w:t>QIVc</w:t>
      </w:r>
      <w:proofErr w:type="spellEnd"/>
      <w:r w:rsidRPr="004E6171">
        <w:rPr>
          <w:rFonts w:ascii="Montserrat" w:hAnsi="Montserrat"/>
        </w:rPr>
        <w:t xml:space="preserve"> compared to </w:t>
      </w:r>
      <w:proofErr w:type="spellStart"/>
      <w:r w:rsidRPr="004E6171">
        <w:rPr>
          <w:rFonts w:ascii="Montserrat" w:hAnsi="Montserrat"/>
        </w:rPr>
        <w:t>QIVr</w:t>
      </w:r>
      <w:proofErr w:type="spellEnd"/>
      <w:r w:rsidRPr="004E6171">
        <w:rPr>
          <w:rFonts w:ascii="Montserrat" w:hAnsi="Montserrat"/>
        </w:rPr>
        <w:t xml:space="preserve"> exhibited fewer outpatient visits (585,936) and emergency department visits (12,492), and a comparable number of hospitalizations (503). </w:t>
      </w:r>
      <w:proofErr w:type="spellStart"/>
      <w:r w:rsidRPr="004E6171">
        <w:rPr>
          <w:rFonts w:ascii="Montserrat" w:hAnsi="Montserrat"/>
        </w:rPr>
        <w:t>QIVc</w:t>
      </w:r>
      <w:proofErr w:type="spellEnd"/>
      <w:r w:rsidRPr="004E6171">
        <w:rPr>
          <w:rFonts w:ascii="Montserrat" w:hAnsi="Montserrat"/>
        </w:rPr>
        <w:t xml:space="preserve"> compared to </w:t>
      </w:r>
      <w:proofErr w:type="spellStart"/>
      <w:r w:rsidRPr="004E6171">
        <w:rPr>
          <w:rFonts w:ascii="Montserrat" w:hAnsi="Montserrat"/>
        </w:rPr>
        <w:t>QIVr</w:t>
      </w:r>
      <w:proofErr w:type="spellEnd"/>
      <w:r w:rsidRPr="004E6171">
        <w:rPr>
          <w:rFonts w:ascii="Montserrat" w:hAnsi="Montserrat"/>
        </w:rPr>
        <w:t xml:space="preserve"> resulted in a higher overall number of quality-adjusted life years (QALYs) gained (2,546) and a reduction in total associated costs by US$2.9B. Cost savings were driven mainly by the lower 2023-24 acquisition costs, for </w:t>
      </w:r>
      <w:proofErr w:type="spellStart"/>
      <w:r w:rsidRPr="004E6171">
        <w:rPr>
          <w:rFonts w:ascii="Montserrat" w:hAnsi="Montserrat"/>
        </w:rPr>
        <w:t>QIVc</w:t>
      </w:r>
      <w:proofErr w:type="spellEnd"/>
      <w:r w:rsidRPr="004E6171">
        <w:rPr>
          <w:rFonts w:ascii="Montserrat" w:hAnsi="Montserrat"/>
        </w:rPr>
        <w:t xml:space="preserve"> versus </w:t>
      </w:r>
      <w:proofErr w:type="spellStart"/>
      <w:r w:rsidRPr="004E6171">
        <w:rPr>
          <w:rFonts w:ascii="Montserrat" w:hAnsi="Montserrat"/>
        </w:rPr>
        <w:t>QIVr</w:t>
      </w:r>
      <w:proofErr w:type="spellEnd"/>
      <w:r w:rsidRPr="004E6171">
        <w:rPr>
          <w:rFonts w:ascii="Montserrat" w:hAnsi="Montserrat"/>
        </w:rPr>
        <w:t xml:space="preserve"> (≈-50%).</w:t>
      </w:r>
    </w:p>
    <w:p w14:paraId="43F93CFC" w14:textId="77777777" w:rsidR="007E6A7C" w:rsidRPr="004E6171" w:rsidRDefault="007E6A7C" w:rsidP="007E6A7C">
      <w:pPr>
        <w:rPr>
          <w:rFonts w:ascii="Montserrat" w:hAnsi="Montserrat"/>
        </w:rPr>
      </w:pPr>
    </w:p>
    <w:p w14:paraId="4BA55856" w14:textId="33765C29" w:rsidR="007E6A7C" w:rsidRPr="004E6171" w:rsidRDefault="007E6A7C" w:rsidP="007E6A7C">
      <w:pPr>
        <w:rPr>
          <w:rFonts w:ascii="Montserrat" w:hAnsi="Montserrat"/>
          <w:b/>
          <w:bCs/>
        </w:rPr>
      </w:pPr>
      <w:r w:rsidRPr="004E6171">
        <w:rPr>
          <w:rFonts w:ascii="Montserrat" w:hAnsi="Montserrat"/>
          <w:b/>
          <w:bCs/>
        </w:rPr>
        <w:t>Study Limitations</w:t>
      </w:r>
    </w:p>
    <w:p w14:paraId="213AC318" w14:textId="77777777" w:rsidR="007E6A7C" w:rsidRPr="004E6171" w:rsidRDefault="007E6A7C" w:rsidP="007E6A7C">
      <w:pPr>
        <w:rPr>
          <w:rFonts w:ascii="Montserrat" w:hAnsi="Montserrat"/>
        </w:rPr>
      </w:pPr>
      <w:r w:rsidRPr="004E6171">
        <w:rPr>
          <w:rFonts w:ascii="Montserrat" w:hAnsi="Montserrat"/>
        </w:rPr>
        <w:t>The above studies featuring RWE were subject to the typical limitations associated with retrospective cohort analyses. Unmeasured and residual confounding remain a potential source of bias as in all observational research. The amount and quality of data available on individuals may vary and clinical and claims data do not include all data that could inform and adjust for health seeking behavior, such as individual or contextual socioeconomic data. Studies included outcomes which were obtained as part of routine care and not performed according to pre-set screening criteria, including test confirmed influenza in the retrospective test-negative designs. Vaccination in these observational studies was not randomly assigned.</w:t>
      </w:r>
    </w:p>
    <w:p w14:paraId="55B794EA" w14:textId="77777777" w:rsidR="007E6A7C" w:rsidRPr="004E6171" w:rsidRDefault="007E6A7C" w:rsidP="007E6A7C">
      <w:pPr>
        <w:rPr>
          <w:rFonts w:ascii="Montserrat" w:hAnsi="Montserrat"/>
        </w:rPr>
      </w:pPr>
    </w:p>
    <w:p w14:paraId="13A559FD" w14:textId="3BEB07D6" w:rsidR="001F42EE" w:rsidRDefault="007E6A7C" w:rsidP="0045516B">
      <w:r w:rsidRPr="004E6171">
        <w:rPr>
          <w:rFonts w:ascii="Montserrat" w:hAnsi="Montserrat"/>
        </w:rPr>
        <w:t>As with all simulations, analyses based on models have several limitations based on a model’s parameters and available data, as well as annually varying vaccine effectiveness. Modeling may underestimate the true number of cases averted for several reasons. Studies may not account for the indirect benefits of vaccination, such as herd immunity and reduction of transmission due to reduction in cases. Additionally, CDC disease burden estimates correspond to the overall population (including both vaccinated and unvaccinated people), which may cause an underestimation of averted cases in the unvaccinated. Additionally, modeling may not capture potential variability between sub-groups where groupings such as age-specific data were not present.</w:t>
      </w:r>
    </w:p>
    <w:p w14:paraId="53458A81" w14:textId="77777777" w:rsidR="00493B96" w:rsidRDefault="00493B96" w:rsidP="0045516B"/>
    <w:p w14:paraId="36D2CCFB" w14:textId="77777777" w:rsidR="00493B96" w:rsidRPr="00FB0969" w:rsidRDefault="00493B96" w:rsidP="00493B96">
      <w:pPr>
        <w:rPr>
          <w:rFonts w:ascii="Montserrat" w:hAnsi="Montserrat" w:cstheme="minorHAnsi"/>
          <w:lang w:val="es-ES"/>
        </w:rPr>
      </w:pPr>
      <w:r w:rsidRPr="00FB0969">
        <w:rPr>
          <w:rFonts w:ascii="Montserrat" w:hAnsi="Montserrat" w:cstheme="minorHAnsi"/>
          <w:lang w:val="es-ES"/>
        </w:rPr>
        <w:t>###</w:t>
      </w:r>
    </w:p>
    <w:p w14:paraId="500E85AF" w14:textId="77777777" w:rsidR="00493B96" w:rsidRPr="00FB0969" w:rsidRDefault="00493B96" w:rsidP="00493B96">
      <w:pPr>
        <w:rPr>
          <w:rFonts w:ascii="Montserrat" w:hAnsi="Montserrat" w:cstheme="minorHAnsi"/>
        </w:rPr>
      </w:pPr>
    </w:p>
    <w:p w14:paraId="582B75DF" w14:textId="77777777" w:rsidR="00493B96" w:rsidRPr="00FB0969" w:rsidRDefault="00493B96" w:rsidP="00493B96">
      <w:pPr>
        <w:pBdr>
          <w:top w:val="nil"/>
          <w:left w:val="nil"/>
          <w:bottom w:val="nil"/>
          <w:right w:val="nil"/>
          <w:between w:val="nil"/>
        </w:pBdr>
        <w:spacing w:line="276" w:lineRule="auto"/>
        <w:rPr>
          <w:rFonts w:ascii="Montserrat" w:hAnsi="Montserrat"/>
        </w:rPr>
      </w:pPr>
      <w:r w:rsidRPr="00FB0969">
        <w:rPr>
          <w:rFonts w:ascii="Montserrat" w:hAnsi="Montserrat"/>
          <w:noProof/>
        </w:rPr>
        <mc:AlternateContent>
          <mc:Choice Requires="wps">
            <w:drawing>
              <wp:anchor distT="0" distB="0" distL="114300" distR="114300" simplePos="0" relativeHeight="251661312" behindDoc="0" locked="0" layoutInCell="1" allowOverlap="1" wp14:anchorId="639FCEBD" wp14:editId="04CB1529">
                <wp:simplePos x="0" y="0"/>
                <wp:positionH relativeFrom="column">
                  <wp:posOffset>0</wp:posOffset>
                </wp:positionH>
                <wp:positionV relativeFrom="paragraph">
                  <wp:posOffset>0</wp:posOffset>
                </wp:positionV>
                <wp:extent cx="635000" cy="635000"/>
                <wp:effectExtent l="0" t="0" r="3175" b="3175"/>
                <wp:wrapNone/>
                <wp:docPr id="1302800354" name="Text Box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BAB5A7" id="_x0000_t202" coordsize="21600,21600" o:spt="202" path="m,l,21600r21600,l21600,xe">
                <v:stroke joinstyle="miter"/>
                <v:path gradientshapeok="t" o:connecttype="rect"/>
              </v:shapetype>
              <v:shape id="Text Box 3"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FB0969">
        <w:rPr>
          <w:rFonts w:ascii="Montserrat" w:eastAsia="Arial" w:hAnsi="Montserrat"/>
          <w:b/>
          <w:color w:val="000000"/>
        </w:rPr>
        <w:t>FLUCELVAX</w:t>
      </w:r>
      <w:r w:rsidRPr="00FB0969">
        <w:rPr>
          <w:rFonts w:ascii="Montserrat" w:eastAsia="Arial" w:hAnsi="Montserrat"/>
          <w:b/>
          <w:color w:val="000000"/>
          <w:vertAlign w:val="superscript"/>
        </w:rPr>
        <w:t>®</w:t>
      </w:r>
      <w:r w:rsidRPr="00FB0969">
        <w:rPr>
          <w:rFonts w:ascii="Montserrat" w:eastAsia="Arial" w:hAnsi="Montserrat"/>
          <w:b/>
          <w:color w:val="000000"/>
        </w:rPr>
        <w:t xml:space="preserve"> (Influenza Vaccine)</w:t>
      </w:r>
      <w:r w:rsidRPr="00FB0969">
        <w:rPr>
          <w:rFonts w:ascii="Montserrat" w:hAnsi="Montserrat"/>
        </w:rPr>
        <w:t xml:space="preserve"> </w:t>
      </w:r>
      <w:r w:rsidRPr="00FB0969">
        <w:rPr>
          <w:rFonts w:ascii="Montserrat" w:eastAsia="Arial" w:hAnsi="Montserrat"/>
          <w:b/>
          <w:color w:val="000000"/>
        </w:rPr>
        <w:t>IMPORTANT SAFETY INFORMATION</w:t>
      </w:r>
    </w:p>
    <w:p w14:paraId="1655CA0D" w14:textId="77777777" w:rsidR="00493B96" w:rsidRPr="00FB0969" w:rsidRDefault="00493B96" w:rsidP="00493B96">
      <w:pPr>
        <w:rPr>
          <w:rFonts w:ascii="Montserrat" w:eastAsia="Arial" w:hAnsi="Montserrat"/>
          <w:b/>
          <w:color w:val="000000"/>
        </w:rPr>
      </w:pPr>
    </w:p>
    <w:p w14:paraId="7435069F" w14:textId="77777777" w:rsidR="00493B96" w:rsidRPr="00FB0969" w:rsidRDefault="00493B96" w:rsidP="00493B96">
      <w:pPr>
        <w:rPr>
          <w:rFonts w:ascii="Montserrat" w:eastAsia="Arial" w:hAnsi="Montserrat"/>
          <w:b/>
          <w:color w:val="000000"/>
        </w:rPr>
      </w:pPr>
      <w:r w:rsidRPr="00FB0969">
        <w:rPr>
          <w:rFonts w:ascii="Montserrat" w:eastAsia="Arial" w:hAnsi="Montserrat"/>
          <w:b/>
          <w:color w:val="000000"/>
        </w:rPr>
        <w:t>What is FLUCELVAX® (Influenza Vaccine)?</w:t>
      </w:r>
    </w:p>
    <w:p w14:paraId="314C00EB" w14:textId="77777777" w:rsidR="00493B96" w:rsidRPr="00FB0969" w:rsidRDefault="00493B96" w:rsidP="00493B96">
      <w:pPr>
        <w:rPr>
          <w:rFonts w:ascii="Montserrat" w:eastAsia="Arial" w:hAnsi="Montserrat"/>
          <w:color w:val="000000"/>
        </w:rPr>
      </w:pPr>
      <w:r w:rsidRPr="00FB0969">
        <w:rPr>
          <w:rFonts w:ascii="Montserrat" w:eastAsia="Arial" w:hAnsi="Montserrat"/>
          <w:color w:val="000000"/>
        </w:rPr>
        <w:t>FLUCELVAX is a vaccine that helps protect people aged 6 months and older from the flu. Vaccination with FLUCELVAX may not protect all people who receive the vaccine.</w:t>
      </w:r>
    </w:p>
    <w:p w14:paraId="4BCBF44A" w14:textId="77777777" w:rsidR="00493B96" w:rsidRPr="00FB0969" w:rsidRDefault="00493B96" w:rsidP="00493B96">
      <w:pPr>
        <w:rPr>
          <w:rFonts w:ascii="Montserrat" w:eastAsia="Arial" w:hAnsi="Montserrat"/>
          <w:b/>
          <w:color w:val="000000"/>
        </w:rPr>
      </w:pPr>
    </w:p>
    <w:p w14:paraId="6A678835" w14:textId="77777777" w:rsidR="00493B96" w:rsidRPr="00FB0969" w:rsidRDefault="00493B96" w:rsidP="00493B96">
      <w:pPr>
        <w:rPr>
          <w:rFonts w:ascii="Montserrat" w:eastAsia="Arial" w:hAnsi="Montserrat"/>
          <w:b/>
          <w:color w:val="000000"/>
        </w:rPr>
      </w:pPr>
      <w:r w:rsidRPr="00FB0969">
        <w:rPr>
          <w:rFonts w:ascii="Montserrat" w:eastAsia="Arial" w:hAnsi="Montserrat"/>
          <w:b/>
          <w:color w:val="000000"/>
        </w:rPr>
        <w:t xml:space="preserve">Who should not </w:t>
      </w:r>
      <w:sdt>
        <w:sdtPr>
          <w:rPr>
            <w:rFonts w:ascii="Montserrat" w:hAnsi="Montserrat"/>
          </w:rPr>
          <w:tag w:val="goog_rdk_1"/>
          <w:id w:val="2104750342"/>
        </w:sdtPr>
        <w:sdtEndPr/>
        <w:sdtContent/>
      </w:sdt>
      <w:r w:rsidRPr="00FB0969">
        <w:rPr>
          <w:rFonts w:ascii="Montserrat" w:eastAsia="Arial" w:hAnsi="Montserrat"/>
          <w:b/>
          <w:color w:val="000000"/>
        </w:rPr>
        <w:t>receive FLUCELVAX?</w:t>
      </w:r>
    </w:p>
    <w:p w14:paraId="20E1447A" w14:textId="77777777" w:rsidR="00493B96" w:rsidRPr="00FB0969" w:rsidRDefault="00493B96" w:rsidP="00493B96">
      <w:pPr>
        <w:rPr>
          <w:rFonts w:ascii="Montserrat" w:eastAsia="Arial" w:hAnsi="Montserrat"/>
          <w:b/>
          <w:color w:val="000000"/>
        </w:rPr>
      </w:pPr>
      <w:r w:rsidRPr="00FB0969">
        <w:rPr>
          <w:rFonts w:ascii="Montserrat" w:eastAsia="Arial" w:hAnsi="Montserrat"/>
          <w:color w:val="000000"/>
        </w:rPr>
        <w:t>You should not receive FLUCELVAX if you have a history of severe allergic reactions (e.g., anaphylaxis) to any component of the vaccine.</w:t>
      </w:r>
    </w:p>
    <w:p w14:paraId="7D0CD362" w14:textId="77777777" w:rsidR="00493B96" w:rsidRPr="00FB0969" w:rsidRDefault="00493B96" w:rsidP="00493B96">
      <w:pPr>
        <w:rPr>
          <w:rFonts w:ascii="Montserrat" w:eastAsia="Arial" w:hAnsi="Montserrat"/>
          <w:b/>
          <w:color w:val="000000"/>
        </w:rPr>
      </w:pPr>
    </w:p>
    <w:p w14:paraId="70165959" w14:textId="77777777" w:rsidR="00493B96" w:rsidRPr="00FB0969" w:rsidRDefault="00493B96" w:rsidP="00493B96">
      <w:pPr>
        <w:rPr>
          <w:rFonts w:ascii="Montserrat" w:eastAsia="Arial" w:hAnsi="Montserrat"/>
          <w:b/>
          <w:color w:val="000000"/>
        </w:rPr>
      </w:pPr>
      <w:r w:rsidRPr="00FB0969">
        <w:rPr>
          <w:rFonts w:ascii="Montserrat" w:eastAsia="Arial" w:hAnsi="Montserrat"/>
          <w:b/>
          <w:color w:val="000000"/>
        </w:rPr>
        <w:t>Before receiving FLUCELVAX, tell your healthcare provider about all medical conditions, including if you:</w:t>
      </w:r>
    </w:p>
    <w:p w14:paraId="246EAA30" w14:textId="77777777" w:rsidR="00493B96" w:rsidRPr="00FB0969" w:rsidRDefault="00493B96" w:rsidP="00493B96">
      <w:pPr>
        <w:widowControl/>
        <w:numPr>
          <w:ilvl w:val="0"/>
          <w:numId w:val="2"/>
        </w:numPr>
        <w:pBdr>
          <w:top w:val="nil"/>
          <w:left w:val="nil"/>
          <w:bottom w:val="nil"/>
          <w:right w:val="nil"/>
          <w:between w:val="nil"/>
        </w:pBdr>
        <w:autoSpaceDE/>
        <w:autoSpaceDN/>
        <w:rPr>
          <w:rFonts w:ascii="Montserrat" w:eastAsia="Arial" w:hAnsi="Montserrat"/>
          <w:color w:val="000000"/>
        </w:rPr>
      </w:pPr>
      <w:r w:rsidRPr="00FB0969">
        <w:rPr>
          <w:rFonts w:ascii="Montserrat" w:eastAsia="Arial" w:hAnsi="Montserrat"/>
          <w:color w:val="000000"/>
        </w:rPr>
        <w:lastRenderedPageBreak/>
        <w:t xml:space="preserve">have ever had Guillain-Barré syndrome (severe muscle weakness) within six weeks after getting a flu vaccine. The decision to give </w:t>
      </w:r>
      <w:sdt>
        <w:sdtPr>
          <w:rPr>
            <w:rFonts w:ascii="Montserrat" w:hAnsi="Montserrat"/>
          </w:rPr>
          <w:tag w:val="goog_rdk_3"/>
          <w:id w:val="-925576989"/>
        </w:sdtPr>
        <w:sdtEndPr/>
        <w:sdtContent/>
      </w:sdt>
      <w:r w:rsidRPr="00FB0969">
        <w:rPr>
          <w:rFonts w:ascii="Montserrat" w:eastAsia="Arial" w:hAnsi="Montserrat"/>
          <w:color w:val="000000"/>
        </w:rPr>
        <w:t>FLUCELVAX should be made by your healthcare provider, based on careful consideration of the potential benefits and risks</w:t>
      </w:r>
      <w:sdt>
        <w:sdtPr>
          <w:rPr>
            <w:rFonts w:ascii="Montserrat" w:hAnsi="Montserrat"/>
          </w:rPr>
          <w:tag w:val="goog_rdk_4"/>
          <w:id w:val="932163492"/>
        </w:sdtPr>
        <w:sdtEndPr/>
        <w:sdtContent/>
      </w:sdt>
      <w:r w:rsidRPr="00FB0969">
        <w:rPr>
          <w:rFonts w:ascii="Montserrat" w:eastAsia="Arial" w:hAnsi="Montserrat"/>
          <w:color w:val="000000"/>
        </w:rPr>
        <w:t>.</w:t>
      </w:r>
    </w:p>
    <w:p w14:paraId="4483BAD8" w14:textId="77777777" w:rsidR="00493B96" w:rsidRPr="00FB0969" w:rsidRDefault="00493B96" w:rsidP="00493B96">
      <w:pPr>
        <w:widowControl/>
        <w:numPr>
          <w:ilvl w:val="0"/>
          <w:numId w:val="2"/>
        </w:numPr>
        <w:pBdr>
          <w:top w:val="nil"/>
          <w:left w:val="nil"/>
          <w:bottom w:val="nil"/>
          <w:right w:val="nil"/>
          <w:between w:val="nil"/>
        </w:pBdr>
        <w:autoSpaceDE/>
        <w:autoSpaceDN/>
        <w:rPr>
          <w:rFonts w:ascii="Montserrat" w:eastAsia="Arial" w:hAnsi="Montserrat"/>
          <w:color w:val="000000"/>
        </w:rPr>
      </w:pPr>
      <w:r w:rsidRPr="00FB0969">
        <w:rPr>
          <w:rFonts w:ascii="Montserrat" w:eastAsia="Arial" w:hAnsi="Montserrat"/>
          <w:color w:val="000000"/>
        </w:rPr>
        <w:t>have problems with your immune system or are taking certain medications that suppress your immune system, as these may reduce your immune response to the vaccine</w:t>
      </w:r>
    </w:p>
    <w:p w14:paraId="0CA3CE48" w14:textId="77777777" w:rsidR="00493B96" w:rsidRPr="00FB0969" w:rsidRDefault="00493B96" w:rsidP="00493B96">
      <w:pPr>
        <w:widowControl/>
        <w:numPr>
          <w:ilvl w:val="0"/>
          <w:numId w:val="2"/>
        </w:numPr>
        <w:pBdr>
          <w:top w:val="nil"/>
          <w:left w:val="nil"/>
          <w:bottom w:val="nil"/>
          <w:right w:val="nil"/>
          <w:between w:val="nil"/>
        </w:pBdr>
        <w:autoSpaceDE/>
        <w:autoSpaceDN/>
        <w:rPr>
          <w:rFonts w:ascii="Montserrat" w:eastAsia="Arial" w:hAnsi="Montserrat"/>
          <w:color w:val="000000"/>
        </w:rPr>
      </w:pPr>
      <w:r w:rsidRPr="00FB0969">
        <w:rPr>
          <w:rFonts w:ascii="Montserrat" w:eastAsia="Arial" w:hAnsi="Montserrat"/>
          <w:color w:val="000000"/>
        </w:rPr>
        <w:t>have ever fainted when receiving a vaccine</w:t>
      </w:r>
    </w:p>
    <w:p w14:paraId="032D6385" w14:textId="77777777" w:rsidR="00493B96" w:rsidRPr="00FB0969" w:rsidRDefault="00493B96" w:rsidP="00493B96">
      <w:pPr>
        <w:rPr>
          <w:rFonts w:ascii="Montserrat" w:eastAsia="Arial" w:hAnsi="Montserrat"/>
          <w:b/>
          <w:color w:val="000000"/>
        </w:rPr>
      </w:pPr>
    </w:p>
    <w:p w14:paraId="7F4FA41A" w14:textId="77777777" w:rsidR="00493B96" w:rsidRPr="00FB0969" w:rsidRDefault="00493B96" w:rsidP="00493B96">
      <w:pPr>
        <w:rPr>
          <w:rFonts w:ascii="Montserrat" w:eastAsia="Arial" w:hAnsi="Montserrat"/>
          <w:b/>
          <w:color w:val="000000"/>
        </w:rPr>
      </w:pPr>
      <w:r w:rsidRPr="00FB0969">
        <w:rPr>
          <w:rFonts w:ascii="Montserrat" w:eastAsia="Arial" w:hAnsi="Montserrat"/>
          <w:b/>
          <w:color w:val="000000"/>
        </w:rPr>
        <w:t>What are the most common side effects of FLUCELVAX?</w:t>
      </w:r>
    </w:p>
    <w:p w14:paraId="2D5781E5" w14:textId="77777777" w:rsidR="00493B96" w:rsidRPr="00FB0969" w:rsidRDefault="00493B96" w:rsidP="00493B96">
      <w:pPr>
        <w:widowControl/>
        <w:numPr>
          <w:ilvl w:val="0"/>
          <w:numId w:val="2"/>
        </w:numPr>
        <w:pBdr>
          <w:top w:val="nil"/>
          <w:left w:val="nil"/>
          <w:bottom w:val="nil"/>
          <w:right w:val="nil"/>
          <w:between w:val="nil"/>
        </w:pBdr>
        <w:autoSpaceDE/>
        <w:autoSpaceDN/>
        <w:rPr>
          <w:rFonts w:ascii="Montserrat" w:eastAsia="Arial" w:hAnsi="Montserrat"/>
          <w:color w:val="000000"/>
        </w:rPr>
      </w:pPr>
      <w:r w:rsidRPr="00FB0969">
        <w:rPr>
          <w:rFonts w:ascii="Montserrat" w:eastAsia="Arial" w:hAnsi="Montserrat"/>
          <w:color w:val="000000"/>
        </w:rPr>
        <w:t>pain and/or redness where the vaccine was given</w:t>
      </w:r>
    </w:p>
    <w:p w14:paraId="111EEFC2" w14:textId="77777777" w:rsidR="00493B96" w:rsidRPr="00FB0969" w:rsidRDefault="00493B96" w:rsidP="00493B96">
      <w:pPr>
        <w:widowControl/>
        <w:numPr>
          <w:ilvl w:val="0"/>
          <w:numId w:val="3"/>
        </w:numPr>
        <w:pBdr>
          <w:top w:val="nil"/>
          <w:left w:val="nil"/>
          <w:bottom w:val="nil"/>
          <w:right w:val="nil"/>
          <w:between w:val="nil"/>
        </w:pBdr>
        <w:autoSpaceDE/>
        <w:autoSpaceDN/>
        <w:rPr>
          <w:rFonts w:ascii="Montserrat" w:eastAsia="Arial" w:hAnsi="Montserrat"/>
          <w:color w:val="000000"/>
        </w:rPr>
      </w:pPr>
      <w:r w:rsidRPr="00FB0969">
        <w:rPr>
          <w:rFonts w:ascii="Montserrat" w:eastAsia="Arial" w:hAnsi="Montserrat"/>
          <w:color w:val="000000"/>
        </w:rPr>
        <w:t>headache</w:t>
      </w:r>
    </w:p>
    <w:p w14:paraId="6AE0967A" w14:textId="77777777" w:rsidR="00493B96" w:rsidRPr="00FB0969" w:rsidRDefault="00493B96" w:rsidP="00493B96">
      <w:pPr>
        <w:widowControl/>
        <w:numPr>
          <w:ilvl w:val="0"/>
          <w:numId w:val="3"/>
        </w:numPr>
        <w:pBdr>
          <w:top w:val="nil"/>
          <w:left w:val="nil"/>
          <w:bottom w:val="nil"/>
          <w:right w:val="nil"/>
          <w:between w:val="nil"/>
        </w:pBdr>
        <w:autoSpaceDE/>
        <w:autoSpaceDN/>
        <w:rPr>
          <w:rFonts w:ascii="Montserrat" w:eastAsia="Arial" w:hAnsi="Montserrat"/>
          <w:color w:val="000000"/>
        </w:rPr>
      </w:pPr>
      <w:r w:rsidRPr="00FB0969">
        <w:rPr>
          <w:rFonts w:ascii="Montserrat" w:eastAsia="Arial" w:hAnsi="Montserrat"/>
          <w:color w:val="000000"/>
        </w:rPr>
        <w:t>extreme tiredness</w:t>
      </w:r>
    </w:p>
    <w:p w14:paraId="44F9BE95" w14:textId="77777777" w:rsidR="00493B96" w:rsidRPr="00FB0969" w:rsidRDefault="00493B96" w:rsidP="00493B96">
      <w:pPr>
        <w:widowControl/>
        <w:numPr>
          <w:ilvl w:val="0"/>
          <w:numId w:val="3"/>
        </w:numPr>
        <w:pBdr>
          <w:top w:val="nil"/>
          <w:left w:val="nil"/>
          <w:bottom w:val="nil"/>
          <w:right w:val="nil"/>
          <w:between w:val="nil"/>
        </w:pBdr>
        <w:autoSpaceDE/>
        <w:autoSpaceDN/>
        <w:rPr>
          <w:rFonts w:ascii="Montserrat" w:eastAsia="Arial" w:hAnsi="Montserrat"/>
          <w:color w:val="000000"/>
        </w:rPr>
      </w:pPr>
      <w:r w:rsidRPr="00FB0969">
        <w:rPr>
          <w:rFonts w:ascii="Montserrat" w:eastAsia="Arial" w:hAnsi="Montserrat"/>
          <w:color w:val="000000"/>
        </w:rPr>
        <w:t>muscle aches</w:t>
      </w:r>
    </w:p>
    <w:p w14:paraId="3C112223" w14:textId="77777777" w:rsidR="00493B96" w:rsidRPr="00FB0969" w:rsidRDefault="00493B96" w:rsidP="00493B96">
      <w:pPr>
        <w:rPr>
          <w:rFonts w:ascii="Montserrat" w:eastAsia="Arial" w:hAnsi="Montserrat"/>
          <w:b/>
          <w:color w:val="000000"/>
        </w:rPr>
      </w:pPr>
    </w:p>
    <w:p w14:paraId="7857618B" w14:textId="77777777" w:rsidR="00493B96" w:rsidRPr="00FB0969" w:rsidRDefault="00493B96" w:rsidP="00493B96">
      <w:pPr>
        <w:rPr>
          <w:rFonts w:ascii="Montserrat" w:eastAsia="Arial" w:hAnsi="Montserrat"/>
          <w:b/>
          <w:color w:val="000000"/>
        </w:rPr>
      </w:pPr>
      <w:r w:rsidRPr="00FB0969">
        <w:rPr>
          <w:rFonts w:ascii="Montserrat" w:eastAsia="Arial" w:hAnsi="Montserrat"/>
          <w:b/>
          <w:color w:val="000000"/>
        </w:rPr>
        <w:t>Additional side effects seen in children include:</w:t>
      </w:r>
    </w:p>
    <w:p w14:paraId="4B46009D" w14:textId="77777777" w:rsidR="00493B96" w:rsidRPr="00FB0969" w:rsidRDefault="00493B96" w:rsidP="00493B96">
      <w:pPr>
        <w:widowControl/>
        <w:numPr>
          <w:ilvl w:val="0"/>
          <w:numId w:val="3"/>
        </w:numPr>
        <w:pBdr>
          <w:top w:val="nil"/>
          <w:left w:val="nil"/>
          <w:bottom w:val="nil"/>
          <w:right w:val="nil"/>
          <w:between w:val="nil"/>
        </w:pBdr>
        <w:autoSpaceDE/>
        <w:autoSpaceDN/>
        <w:rPr>
          <w:rFonts w:ascii="Montserrat" w:eastAsia="Arial" w:hAnsi="Montserrat"/>
          <w:color w:val="000000"/>
        </w:rPr>
      </w:pPr>
      <w:r w:rsidRPr="00FB0969">
        <w:rPr>
          <w:rFonts w:ascii="Montserrat" w:eastAsia="Arial" w:hAnsi="Montserrat"/>
          <w:color w:val="000000"/>
        </w:rPr>
        <w:t>tenderness, bruising and/or a raised hardened area where the vaccine was given</w:t>
      </w:r>
    </w:p>
    <w:p w14:paraId="57926F42" w14:textId="77777777" w:rsidR="00493B96" w:rsidRPr="00FB0969" w:rsidRDefault="00493B96" w:rsidP="00493B96">
      <w:pPr>
        <w:widowControl/>
        <w:numPr>
          <w:ilvl w:val="0"/>
          <w:numId w:val="3"/>
        </w:numPr>
        <w:pBdr>
          <w:top w:val="nil"/>
          <w:left w:val="nil"/>
          <w:bottom w:val="nil"/>
          <w:right w:val="nil"/>
          <w:between w:val="nil"/>
        </w:pBdr>
        <w:autoSpaceDE/>
        <w:autoSpaceDN/>
        <w:rPr>
          <w:rFonts w:ascii="Montserrat" w:eastAsia="Arial" w:hAnsi="Montserrat"/>
          <w:color w:val="000000"/>
        </w:rPr>
      </w:pPr>
      <w:r w:rsidRPr="00FB0969">
        <w:rPr>
          <w:rFonts w:ascii="Montserrat" w:eastAsia="Arial" w:hAnsi="Montserrat"/>
          <w:color w:val="000000"/>
        </w:rPr>
        <w:t>sleepiness</w:t>
      </w:r>
    </w:p>
    <w:p w14:paraId="27C32A38" w14:textId="77777777" w:rsidR="00493B96" w:rsidRPr="00FB0969" w:rsidRDefault="00493B96" w:rsidP="00493B96">
      <w:pPr>
        <w:widowControl/>
        <w:numPr>
          <w:ilvl w:val="0"/>
          <w:numId w:val="3"/>
        </w:numPr>
        <w:pBdr>
          <w:top w:val="nil"/>
          <w:left w:val="nil"/>
          <w:bottom w:val="nil"/>
          <w:right w:val="nil"/>
          <w:between w:val="nil"/>
        </w:pBdr>
        <w:autoSpaceDE/>
        <w:autoSpaceDN/>
        <w:rPr>
          <w:rFonts w:ascii="Montserrat" w:eastAsia="Arial" w:hAnsi="Montserrat"/>
          <w:color w:val="000000"/>
        </w:rPr>
      </w:pPr>
      <w:r w:rsidRPr="00FB0969">
        <w:rPr>
          <w:rFonts w:ascii="Montserrat" w:eastAsia="Arial" w:hAnsi="Montserrat"/>
          <w:color w:val="000000"/>
        </w:rPr>
        <w:t>irritability</w:t>
      </w:r>
    </w:p>
    <w:p w14:paraId="053767C3" w14:textId="77777777" w:rsidR="00493B96" w:rsidRPr="00FB0969" w:rsidRDefault="00493B96" w:rsidP="00493B96">
      <w:pPr>
        <w:widowControl/>
        <w:numPr>
          <w:ilvl w:val="0"/>
          <w:numId w:val="3"/>
        </w:numPr>
        <w:pBdr>
          <w:top w:val="nil"/>
          <w:left w:val="nil"/>
          <w:bottom w:val="nil"/>
          <w:right w:val="nil"/>
          <w:between w:val="nil"/>
        </w:pBdr>
        <w:autoSpaceDE/>
        <w:autoSpaceDN/>
        <w:rPr>
          <w:rFonts w:ascii="Montserrat" w:eastAsia="Arial" w:hAnsi="Montserrat"/>
          <w:color w:val="000000"/>
        </w:rPr>
      </w:pPr>
      <w:r w:rsidRPr="00FB0969">
        <w:rPr>
          <w:rFonts w:ascii="Montserrat" w:eastAsia="Arial" w:hAnsi="Montserrat"/>
          <w:color w:val="000000"/>
        </w:rPr>
        <w:t>diarrhea</w:t>
      </w:r>
    </w:p>
    <w:p w14:paraId="399446E8" w14:textId="77777777" w:rsidR="00493B96" w:rsidRPr="00FB0969" w:rsidRDefault="00493B96" w:rsidP="00493B96">
      <w:pPr>
        <w:widowControl/>
        <w:numPr>
          <w:ilvl w:val="0"/>
          <w:numId w:val="3"/>
        </w:numPr>
        <w:pBdr>
          <w:top w:val="nil"/>
          <w:left w:val="nil"/>
          <w:bottom w:val="nil"/>
          <w:right w:val="nil"/>
          <w:between w:val="nil"/>
        </w:pBdr>
        <w:autoSpaceDE/>
        <w:autoSpaceDN/>
        <w:rPr>
          <w:rFonts w:ascii="Montserrat" w:eastAsia="Arial" w:hAnsi="Montserrat"/>
          <w:color w:val="000000"/>
        </w:rPr>
      </w:pPr>
      <w:r w:rsidRPr="00FB0969">
        <w:rPr>
          <w:rFonts w:ascii="Montserrat" w:eastAsia="Arial" w:hAnsi="Montserrat"/>
          <w:color w:val="000000"/>
        </w:rPr>
        <w:t>changes in eating habits</w:t>
      </w:r>
    </w:p>
    <w:p w14:paraId="08710C6C" w14:textId="77777777" w:rsidR="00493B96" w:rsidRPr="00FB0969" w:rsidRDefault="00493B96" w:rsidP="00493B96">
      <w:pPr>
        <w:widowControl/>
        <w:numPr>
          <w:ilvl w:val="0"/>
          <w:numId w:val="3"/>
        </w:numPr>
        <w:pBdr>
          <w:top w:val="nil"/>
          <w:left w:val="nil"/>
          <w:bottom w:val="nil"/>
          <w:right w:val="nil"/>
          <w:between w:val="nil"/>
        </w:pBdr>
        <w:autoSpaceDE/>
        <w:autoSpaceDN/>
        <w:rPr>
          <w:rFonts w:ascii="Montserrat" w:eastAsia="Arial" w:hAnsi="Montserrat"/>
          <w:color w:val="000000"/>
        </w:rPr>
      </w:pPr>
      <w:r w:rsidRPr="00FB0969">
        <w:rPr>
          <w:rFonts w:ascii="Montserrat" w:eastAsia="Arial" w:hAnsi="Montserrat"/>
          <w:color w:val="000000"/>
        </w:rPr>
        <w:t>feeling unwell (malaise)</w:t>
      </w:r>
    </w:p>
    <w:p w14:paraId="73F6526A" w14:textId="77777777" w:rsidR="00493B96" w:rsidRPr="00FB0969" w:rsidRDefault="00493B96" w:rsidP="00493B96">
      <w:pPr>
        <w:rPr>
          <w:rFonts w:ascii="Montserrat" w:eastAsia="Arial" w:hAnsi="Montserrat"/>
          <w:b/>
          <w:color w:val="000000"/>
        </w:rPr>
      </w:pPr>
    </w:p>
    <w:p w14:paraId="4BC49BC7" w14:textId="77777777" w:rsidR="00493B96" w:rsidRPr="00FB0969" w:rsidRDefault="00493B96" w:rsidP="00493B96">
      <w:pPr>
        <w:rPr>
          <w:rFonts w:ascii="Montserrat" w:eastAsia="Arial" w:hAnsi="Montserrat"/>
          <w:color w:val="000000"/>
        </w:rPr>
      </w:pPr>
      <w:r w:rsidRPr="00FB0969">
        <w:rPr>
          <w:rFonts w:ascii="Montserrat" w:eastAsia="Arial" w:hAnsi="Montserrat"/>
          <w:b/>
          <w:color w:val="000000"/>
        </w:rPr>
        <w:t xml:space="preserve">These are not all </w:t>
      </w:r>
      <w:sdt>
        <w:sdtPr>
          <w:rPr>
            <w:rFonts w:ascii="Montserrat" w:hAnsi="Montserrat"/>
          </w:rPr>
          <w:tag w:val="goog_rdk_5"/>
          <w:id w:val="-1964879500"/>
        </w:sdtPr>
        <w:sdtEndPr/>
        <w:sdtContent/>
      </w:sdt>
      <w:r w:rsidRPr="00FB0969">
        <w:rPr>
          <w:rFonts w:ascii="Montserrat" w:eastAsia="Arial" w:hAnsi="Montserrat"/>
          <w:b/>
          <w:color w:val="000000"/>
        </w:rPr>
        <w:t>of the possible side effects of FLUCELVAX</w:t>
      </w:r>
      <w:r w:rsidRPr="00FB0969">
        <w:rPr>
          <w:rFonts w:ascii="Montserrat" w:eastAsia="Arial" w:hAnsi="Montserrat"/>
          <w:color w:val="000000"/>
        </w:rPr>
        <w:t xml:space="preserve">. </w:t>
      </w:r>
    </w:p>
    <w:p w14:paraId="5098F117" w14:textId="77777777" w:rsidR="00493B96" w:rsidRPr="00FB0969" w:rsidRDefault="00493B96" w:rsidP="00493B96">
      <w:pPr>
        <w:rPr>
          <w:rFonts w:ascii="Montserrat" w:eastAsia="Arial" w:hAnsi="Montserrat"/>
          <w:color w:val="000000"/>
        </w:rPr>
      </w:pPr>
      <w:r w:rsidRPr="00FB0969">
        <w:rPr>
          <w:rFonts w:ascii="Montserrat" w:eastAsia="Arial" w:hAnsi="Montserrat"/>
          <w:color w:val="000000"/>
        </w:rPr>
        <w:t xml:space="preserve">You can ask your healthcare provider for more information </w:t>
      </w:r>
      <w:bookmarkStart w:id="2" w:name="_Hlk161925529"/>
      <w:r w:rsidRPr="00FB0969">
        <w:rPr>
          <w:rFonts w:ascii="Montserrat" w:eastAsia="Arial" w:hAnsi="Montserrat"/>
          <w:color w:val="000000"/>
        </w:rPr>
        <w:t>and</w:t>
      </w:r>
      <w:r w:rsidRPr="00FB0969">
        <w:rPr>
          <w:rFonts w:ascii="Montserrat" w:eastAsia="Arial" w:hAnsi="Montserrat"/>
          <w:b/>
          <w:color w:val="000000"/>
        </w:rPr>
        <w:t xml:space="preserve"> </w:t>
      </w:r>
      <w:r w:rsidRPr="00FB0969">
        <w:rPr>
          <w:rFonts w:ascii="Montserrat" w:eastAsia="Arial" w:hAnsi="Montserrat"/>
          <w:color w:val="000000"/>
        </w:rPr>
        <w:t>for advice about any side effects that concern you.</w:t>
      </w:r>
      <w:bookmarkEnd w:id="2"/>
    </w:p>
    <w:p w14:paraId="1665EA5B" w14:textId="77777777" w:rsidR="00493B96" w:rsidRPr="00FB0969" w:rsidRDefault="00493B96" w:rsidP="00493B96">
      <w:pPr>
        <w:rPr>
          <w:rFonts w:ascii="Montserrat" w:eastAsia="Arial" w:hAnsi="Montserrat"/>
          <w:color w:val="000000"/>
        </w:rPr>
      </w:pPr>
    </w:p>
    <w:p w14:paraId="5EDC6738" w14:textId="77777777" w:rsidR="00493B96" w:rsidRPr="00FB0969" w:rsidRDefault="00493B96" w:rsidP="00493B96">
      <w:pPr>
        <w:rPr>
          <w:rFonts w:ascii="Montserrat" w:eastAsia="Arial" w:hAnsi="Montserrat"/>
          <w:b/>
          <w:color w:val="000000"/>
        </w:rPr>
      </w:pPr>
      <w:r w:rsidRPr="00FB0969">
        <w:rPr>
          <w:rFonts w:ascii="Montserrat" w:eastAsia="Arial" w:hAnsi="Montserrat"/>
          <w:b/>
          <w:color w:val="000000"/>
        </w:rPr>
        <w:t>What do I do if I have side effects?</w:t>
      </w:r>
    </w:p>
    <w:p w14:paraId="4870B818" w14:textId="77777777" w:rsidR="00493B96" w:rsidRPr="00FB0969" w:rsidRDefault="00493B96" w:rsidP="00493B96">
      <w:pPr>
        <w:rPr>
          <w:rFonts w:ascii="Montserrat" w:eastAsia="Arial" w:hAnsi="Montserrat"/>
          <w:b/>
          <w:color w:val="000000"/>
        </w:rPr>
      </w:pPr>
      <w:r w:rsidRPr="00FB0969">
        <w:rPr>
          <w:rFonts w:ascii="Montserrat" w:eastAsia="Arial" w:hAnsi="Montserrat"/>
          <w:color w:val="000000"/>
        </w:rPr>
        <w:t>Report any severe or unusual side effects to your healthcare provider</w:t>
      </w:r>
      <w:r w:rsidRPr="00FB0969">
        <w:rPr>
          <w:rFonts w:ascii="Montserrat" w:eastAsia="Arial" w:hAnsi="Montserrat"/>
          <w:b/>
          <w:color w:val="000000"/>
        </w:rPr>
        <w:t>.</w:t>
      </w:r>
    </w:p>
    <w:p w14:paraId="27534803" w14:textId="77777777" w:rsidR="00493B96" w:rsidRPr="00FB0969" w:rsidRDefault="00493B96" w:rsidP="00493B96">
      <w:pPr>
        <w:rPr>
          <w:rFonts w:ascii="Montserrat" w:eastAsia="Arial" w:hAnsi="Montserrat"/>
          <w:b/>
          <w:color w:val="000000"/>
        </w:rPr>
      </w:pPr>
    </w:p>
    <w:p w14:paraId="40FE6605" w14:textId="77777777" w:rsidR="00493B96" w:rsidRPr="00FB0969" w:rsidRDefault="00493B96" w:rsidP="00493B96">
      <w:pPr>
        <w:rPr>
          <w:rFonts w:ascii="Montserrat" w:eastAsia="Arial" w:hAnsi="Montserrat"/>
          <w:b/>
          <w:color w:val="000000"/>
        </w:rPr>
      </w:pPr>
      <w:r w:rsidRPr="00FB0969">
        <w:rPr>
          <w:rFonts w:ascii="Montserrat" w:eastAsia="Arial" w:hAnsi="Montserrat"/>
          <w:b/>
          <w:color w:val="000000"/>
        </w:rPr>
        <w:t>To report SUSPECTED ADVERSE REACTIONS, contact CSL Seqirus</w:t>
      </w:r>
      <w:r w:rsidRPr="00FB0969">
        <w:rPr>
          <w:rFonts w:ascii="Montserrat" w:hAnsi="Montserrat"/>
          <w:b/>
        </w:rPr>
        <w:t xml:space="preserve"> a</w:t>
      </w:r>
      <w:r w:rsidRPr="00FB0969">
        <w:rPr>
          <w:rFonts w:ascii="Montserrat" w:eastAsia="Arial" w:hAnsi="Montserrat"/>
          <w:b/>
          <w:color w:val="000000"/>
        </w:rPr>
        <w:t>t</w:t>
      </w:r>
    </w:p>
    <w:p w14:paraId="7A9C99DE" w14:textId="77777777" w:rsidR="00493B96" w:rsidRPr="00FB0969" w:rsidRDefault="00493B96" w:rsidP="00493B96">
      <w:pPr>
        <w:rPr>
          <w:rFonts w:ascii="Montserrat" w:eastAsia="Arial" w:hAnsi="Montserrat"/>
          <w:b/>
          <w:color w:val="000000"/>
        </w:rPr>
      </w:pPr>
      <w:r w:rsidRPr="00FB0969">
        <w:rPr>
          <w:rFonts w:ascii="Montserrat" w:eastAsia="Arial" w:hAnsi="Montserrat"/>
          <w:b/>
          <w:color w:val="000000"/>
        </w:rPr>
        <w:t>1-855-358-8966 or VAERS at 1</w:t>
      </w:r>
      <w:r w:rsidRPr="00FB0969">
        <w:rPr>
          <w:rFonts w:ascii="Montserrat" w:eastAsia="Cambria Math" w:hAnsi="Montserrat"/>
          <w:color w:val="000000"/>
        </w:rPr>
        <w:t>‐</w:t>
      </w:r>
      <w:r w:rsidRPr="00FB0969">
        <w:rPr>
          <w:rFonts w:ascii="Montserrat" w:eastAsia="Arial" w:hAnsi="Montserrat"/>
          <w:b/>
          <w:color w:val="000000"/>
        </w:rPr>
        <w:t>800</w:t>
      </w:r>
      <w:r w:rsidRPr="00FB0969">
        <w:rPr>
          <w:rFonts w:ascii="Montserrat" w:eastAsia="Cambria Math" w:hAnsi="Montserrat"/>
          <w:color w:val="000000"/>
        </w:rPr>
        <w:t>‐</w:t>
      </w:r>
      <w:r w:rsidRPr="00FB0969">
        <w:rPr>
          <w:rFonts w:ascii="Montserrat" w:eastAsia="Arial" w:hAnsi="Montserrat"/>
          <w:b/>
          <w:color w:val="000000"/>
        </w:rPr>
        <w:t>822</w:t>
      </w:r>
      <w:r w:rsidRPr="00FB0969">
        <w:rPr>
          <w:rFonts w:ascii="Montserrat" w:eastAsia="Cambria Math" w:hAnsi="Montserrat"/>
          <w:color w:val="000000"/>
        </w:rPr>
        <w:t>‐</w:t>
      </w:r>
      <w:r w:rsidRPr="00FB0969">
        <w:rPr>
          <w:rFonts w:ascii="Montserrat" w:eastAsia="Arial" w:hAnsi="Montserrat"/>
          <w:b/>
          <w:color w:val="000000"/>
        </w:rPr>
        <w:t xml:space="preserve">7967 or </w:t>
      </w:r>
      <w:hyperlink r:id="rId9" w:history="1">
        <w:r w:rsidRPr="00FB0969">
          <w:rPr>
            <w:rStyle w:val="Hyperlink"/>
            <w:rFonts w:ascii="Montserrat" w:eastAsia="Arial" w:hAnsi="Montserrat"/>
            <w:b/>
          </w:rPr>
          <w:t>www.vaers.hhs.gov</w:t>
        </w:r>
      </w:hyperlink>
      <w:r w:rsidRPr="00FB0969">
        <w:rPr>
          <w:rFonts w:ascii="Montserrat" w:eastAsia="Arial" w:hAnsi="Montserrat"/>
          <w:b/>
          <w:color w:val="000000"/>
        </w:rPr>
        <w:t>.</w:t>
      </w:r>
    </w:p>
    <w:p w14:paraId="64C7C17F" w14:textId="77777777" w:rsidR="00493B96" w:rsidRPr="00FB0969" w:rsidRDefault="00493B96" w:rsidP="00493B96">
      <w:pPr>
        <w:rPr>
          <w:rFonts w:ascii="Montserrat" w:eastAsia="Arial" w:hAnsi="Montserrat"/>
          <w:b/>
          <w:color w:val="000000"/>
        </w:rPr>
      </w:pPr>
    </w:p>
    <w:p w14:paraId="5E571C0C" w14:textId="77777777" w:rsidR="00493B96" w:rsidRPr="00FB0969" w:rsidRDefault="00493B96" w:rsidP="00493B96">
      <w:pPr>
        <w:rPr>
          <w:rFonts w:ascii="Montserrat" w:eastAsia="Arial" w:hAnsi="Montserrat"/>
          <w:b/>
          <w:color w:val="000000"/>
        </w:rPr>
      </w:pPr>
      <w:r w:rsidRPr="00FB0969">
        <w:rPr>
          <w:rFonts w:ascii="Montserrat" w:eastAsia="Arial" w:hAnsi="Montserrat"/>
          <w:b/>
          <w:color w:val="000000"/>
        </w:rPr>
        <w:t>Before receiving this vaccine, please see the full US Prescribing Information for</w:t>
      </w:r>
    </w:p>
    <w:p w14:paraId="4EDBDC50" w14:textId="77777777" w:rsidR="00493B96" w:rsidRDefault="00493B96" w:rsidP="00493B96">
      <w:pPr>
        <w:rPr>
          <w:rFonts w:ascii="Montserrat" w:hAnsi="Montserrat"/>
          <w:bCs/>
        </w:rPr>
      </w:pPr>
      <w:r w:rsidRPr="00FB0969">
        <w:rPr>
          <w:rFonts w:ascii="Montserrat" w:eastAsia="Arial" w:hAnsi="Montserrat"/>
          <w:b/>
          <w:color w:val="000000"/>
        </w:rPr>
        <w:t>FLUCELVAX.</w:t>
      </w:r>
      <w:r w:rsidRPr="00FB0969">
        <w:rPr>
          <w:rFonts w:ascii="Montserrat" w:eastAsia="Arial" w:hAnsi="Montserrat"/>
          <w:color w:val="000000"/>
        </w:rPr>
        <w:t xml:space="preserve"> </w:t>
      </w:r>
      <w:r w:rsidRPr="00FB0969">
        <w:rPr>
          <w:rFonts w:ascii="Montserrat" w:hAnsi="Montserrat"/>
          <w:bCs/>
        </w:rPr>
        <w:t>You can ask your healthcare provider or pharmacist for information about FLUCELVAX that is written for healthcare professionals.</w:t>
      </w:r>
    </w:p>
    <w:p w14:paraId="2DA2ACF3" w14:textId="77777777" w:rsidR="00493B96" w:rsidRDefault="00493B96" w:rsidP="00493B96">
      <w:pPr>
        <w:rPr>
          <w:rFonts w:ascii="Montserrat" w:hAnsi="Montserrat"/>
          <w:bCs/>
        </w:rPr>
      </w:pPr>
    </w:p>
    <w:p w14:paraId="5E129CAD" w14:textId="79CE32C9" w:rsidR="00493B96" w:rsidRDefault="00493B96" w:rsidP="00493B96">
      <w:pPr>
        <w:rPr>
          <w:rFonts w:ascii="Montserrat" w:hAnsi="Montserrat"/>
          <w:bCs/>
        </w:rPr>
      </w:pPr>
      <w:r>
        <w:rPr>
          <w:rFonts w:ascii="Montserrat" w:hAnsi="Montserrat"/>
          <w:bCs/>
        </w:rPr>
        <w:t>###</w:t>
      </w:r>
    </w:p>
    <w:p w14:paraId="08F7194C" w14:textId="5BADD50A" w:rsidR="00493B96" w:rsidRPr="0045516B" w:rsidRDefault="00493B96" w:rsidP="00493B96"/>
    <w:sectPr w:rsidR="00493B96" w:rsidRPr="0045516B" w:rsidSect="009E46F7">
      <w:footerReference w:type="default" r:id="rId10"/>
      <w:endnotePr>
        <w:numFmt w:val="decimal"/>
      </w:endnotePr>
      <w:pgSz w:w="12240" w:h="15840"/>
      <w:pgMar w:top="1368" w:right="1224" w:bottom="1368"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68534" w14:textId="77777777" w:rsidR="00093A1E" w:rsidRDefault="00093A1E" w:rsidP="007E6A7C">
      <w:r>
        <w:separator/>
      </w:r>
    </w:p>
  </w:endnote>
  <w:endnote w:type="continuationSeparator" w:id="0">
    <w:p w14:paraId="0B1D3F34" w14:textId="77777777" w:rsidR="00093A1E" w:rsidRDefault="00093A1E" w:rsidP="007E6A7C">
      <w:r>
        <w:continuationSeparator/>
      </w:r>
    </w:p>
  </w:endnote>
  <w:endnote w:type="continuationNotice" w:id="1">
    <w:p w14:paraId="516925E9" w14:textId="77777777" w:rsidR="00093A1E" w:rsidRDefault="00093A1E"/>
  </w:endnote>
  <w:endnote w:id="2">
    <w:p w14:paraId="10278C82" w14:textId="72CAF53E" w:rsidR="007E6A7C" w:rsidRPr="00FD11B7" w:rsidRDefault="007E6A7C" w:rsidP="007E6A7C">
      <w:pPr>
        <w:pStyle w:val="EndnoteText"/>
        <w:rPr>
          <w:rFonts w:ascii="Montserrat" w:hAnsi="Montserrat"/>
          <w:sz w:val="16"/>
          <w:szCs w:val="16"/>
        </w:rPr>
      </w:pPr>
      <w:r w:rsidRPr="00FD11B7">
        <w:rPr>
          <w:rStyle w:val="EndnoteReference"/>
          <w:rFonts w:ascii="Montserrat" w:hAnsi="Montserrat"/>
          <w:sz w:val="16"/>
          <w:szCs w:val="16"/>
        </w:rPr>
        <w:endnoteRef/>
      </w:r>
      <w:r w:rsidRPr="00FD11B7">
        <w:rPr>
          <w:rFonts w:ascii="Montserrat" w:hAnsi="Montserrat"/>
          <w:sz w:val="16"/>
          <w:szCs w:val="16"/>
        </w:rPr>
        <w:t xml:space="preserve"> </w:t>
      </w:r>
      <w:proofErr w:type="spellStart"/>
      <w:r w:rsidRPr="00FD11B7">
        <w:rPr>
          <w:rFonts w:ascii="Montserrat" w:hAnsi="Montserrat"/>
          <w:sz w:val="16"/>
          <w:szCs w:val="16"/>
        </w:rPr>
        <w:t>Mould</w:t>
      </w:r>
      <w:proofErr w:type="spellEnd"/>
      <w:r w:rsidR="00FD11B7" w:rsidRPr="00FD11B7">
        <w:rPr>
          <w:rFonts w:ascii="Montserrat" w:hAnsi="Montserrat"/>
          <w:sz w:val="16"/>
          <w:szCs w:val="16"/>
        </w:rPr>
        <w:t>-</w:t>
      </w:r>
      <w:r w:rsidR="00FD11B7" w:rsidRPr="00FD11B7">
        <w:rPr>
          <w:rFonts w:ascii="Montserrat" w:hAnsi="Montserrat"/>
          <w:sz w:val="16"/>
          <w:szCs w:val="16"/>
        </w:rPr>
        <w:t>Quevedo</w:t>
      </w:r>
      <w:r w:rsidRPr="00FD11B7">
        <w:rPr>
          <w:rFonts w:ascii="Montserrat" w:hAnsi="Montserrat"/>
          <w:sz w:val="16"/>
          <w:szCs w:val="16"/>
        </w:rPr>
        <w:t>, J. et al (2024). The impact of low influenza immunization rates on U.S. Hospital System Resources. A dynamic model estimation.</w:t>
      </w:r>
    </w:p>
  </w:endnote>
  <w:endnote w:id="3">
    <w:p w14:paraId="5B20FD30" w14:textId="77777777" w:rsidR="007E6A7C" w:rsidRPr="00FD11B7" w:rsidRDefault="007E6A7C" w:rsidP="007E6A7C">
      <w:pPr>
        <w:pStyle w:val="EndnoteText"/>
        <w:rPr>
          <w:rFonts w:ascii="Montserrat" w:hAnsi="Montserrat"/>
          <w:sz w:val="16"/>
          <w:szCs w:val="16"/>
        </w:rPr>
      </w:pPr>
      <w:r w:rsidRPr="00FD11B7">
        <w:rPr>
          <w:rStyle w:val="EndnoteReference"/>
          <w:rFonts w:ascii="Montserrat" w:hAnsi="Montserrat"/>
          <w:sz w:val="16"/>
          <w:szCs w:val="16"/>
        </w:rPr>
        <w:endnoteRef/>
      </w:r>
      <w:r w:rsidRPr="00FD11B7">
        <w:rPr>
          <w:rFonts w:ascii="Montserrat" w:hAnsi="Montserrat"/>
          <w:sz w:val="16"/>
          <w:szCs w:val="16"/>
        </w:rPr>
        <w:t xml:space="preserve"> Stein, A. et al (2024). Relative Vaccine Effectiveness of Cell-Based Versus Egg-Based Quadrivalent Influenza Vaccines Against Test-Confirmed Influenza in the United States 2022-23 Influenza Season.</w:t>
      </w:r>
    </w:p>
  </w:endnote>
  <w:endnote w:id="4">
    <w:p w14:paraId="760D74F1" w14:textId="77777777" w:rsidR="007E6A7C" w:rsidRPr="00FD11B7" w:rsidRDefault="007E6A7C" w:rsidP="007E6A7C">
      <w:pPr>
        <w:pStyle w:val="EndnoteText"/>
        <w:rPr>
          <w:rFonts w:ascii="Montserrat" w:hAnsi="Montserrat"/>
          <w:sz w:val="16"/>
          <w:szCs w:val="16"/>
        </w:rPr>
      </w:pPr>
      <w:r w:rsidRPr="00FD11B7">
        <w:rPr>
          <w:rStyle w:val="EndnoteReference"/>
          <w:rFonts w:ascii="Montserrat" w:hAnsi="Montserrat"/>
          <w:sz w:val="16"/>
          <w:szCs w:val="16"/>
        </w:rPr>
        <w:endnoteRef/>
      </w:r>
      <w:r w:rsidRPr="00FD11B7">
        <w:rPr>
          <w:rFonts w:ascii="Montserrat" w:hAnsi="Montserrat"/>
          <w:sz w:val="16"/>
          <w:szCs w:val="16"/>
        </w:rPr>
        <w:t xml:space="preserve"> Imran, M. et al (2024). Relative Effectiveness of Cell-Based Influenza Vaccines versus Egg-Based Influenza Vaccines: A Review of Test-Confirmed and Clinical Diagnosis-Based Outcomes.</w:t>
      </w:r>
    </w:p>
  </w:endnote>
  <w:endnote w:id="5">
    <w:p w14:paraId="07D974CF" w14:textId="77777777" w:rsidR="007E6A7C" w:rsidRPr="00FD11B7" w:rsidRDefault="007E6A7C" w:rsidP="007E6A7C">
      <w:pPr>
        <w:pStyle w:val="EndnoteText"/>
        <w:rPr>
          <w:rFonts w:ascii="Montserrat" w:hAnsi="Montserrat"/>
          <w:sz w:val="16"/>
          <w:szCs w:val="16"/>
        </w:rPr>
      </w:pPr>
      <w:r w:rsidRPr="00FD11B7">
        <w:rPr>
          <w:rStyle w:val="EndnoteReference"/>
          <w:rFonts w:ascii="Montserrat" w:hAnsi="Montserrat"/>
          <w:sz w:val="16"/>
          <w:szCs w:val="16"/>
        </w:rPr>
        <w:endnoteRef/>
      </w:r>
      <w:r w:rsidRPr="00FD11B7">
        <w:rPr>
          <w:rFonts w:ascii="Montserrat" w:hAnsi="Montserrat"/>
          <w:sz w:val="16"/>
          <w:szCs w:val="16"/>
        </w:rPr>
        <w:t xml:space="preserve"> Stein, A. et al (2024). Estimated Additional Burden Averted for the 2022-2023 influenza season from Use of Cell-Based Influenza Vaccines Compared to Egg-Based Influenza Vaccines Among People 0-64 Years of Age in the United States.</w:t>
      </w:r>
    </w:p>
  </w:endnote>
  <w:endnote w:id="6">
    <w:p w14:paraId="6CDE22CA" w14:textId="30456364" w:rsidR="006B2852" w:rsidRPr="00D853B9" w:rsidRDefault="006B2852" w:rsidP="006B2852">
      <w:pPr>
        <w:pStyle w:val="EndnoteText"/>
        <w:rPr>
          <w:rFonts w:ascii="Montserrat" w:hAnsi="Montserrat"/>
          <w:sz w:val="16"/>
          <w:szCs w:val="16"/>
        </w:rPr>
      </w:pPr>
      <w:r w:rsidRPr="00FD11B7">
        <w:rPr>
          <w:rStyle w:val="EndnoteReference"/>
          <w:rFonts w:ascii="Montserrat" w:hAnsi="Montserrat"/>
          <w:sz w:val="16"/>
          <w:szCs w:val="16"/>
        </w:rPr>
        <w:endnoteRef/>
      </w:r>
      <w:r w:rsidRPr="00FD11B7">
        <w:rPr>
          <w:rFonts w:ascii="Montserrat" w:hAnsi="Montserrat"/>
          <w:sz w:val="16"/>
          <w:szCs w:val="16"/>
        </w:rPr>
        <w:t xml:space="preserve"> </w:t>
      </w:r>
      <w:proofErr w:type="spellStart"/>
      <w:r w:rsidR="00FD11B7" w:rsidRPr="00FD11B7">
        <w:rPr>
          <w:rFonts w:ascii="Montserrat" w:hAnsi="Montserrat"/>
          <w:sz w:val="16"/>
          <w:szCs w:val="16"/>
        </w:rPr>
        <w:t>Mould</w:t>
      </w:r>
      <w:proofErr w:type="spellEnd"/>
      <w:r w:rsidR="00FD11B7" w:rsidRPr="00FD11B7">
        <w:rPr>
          <w:rFonts w:ascii="Montserrat" w:hAnsi="Montserrat"/>
          <w:sz w:val="16"/>
          <w:szCs w:val="16"/>
        </w:rPr>
        <w:t>-Quevedo</w:t>
      </w:r>
      <w:r w:rsidRPr="00FD11B7">
        <w:rPr>
          <w:rFonts w:ascii="Montserrat" w:hAnsi="Montserrat"/>
          <w:sz w:val="16"/>
          <w:szCs w:val="16"/>
        </w:rPr>
        <w:t>, J. et al (2024). A Clinical and Economic Comparison of Non-Egg Influenza Vaccines in Adults 18-64 Years in the U.S.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ontserrat">
    <w:panose1 w:val="00000000000000000000"/>
    <w:charset w:val="00"/>
    <w:family w:val="auto"/>
    <w:pitch w:val="variable"/>
    <w:sig w:usb0="A00002FF" w:usb1="4000207B" w:usb2="00000000" w:usb3="00000000" w:csb0="00000197" w:csb1="00000000"/>
  </w:font>
  <w:font w:name="Montserrat Light">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DB4E7" w14:textId="71B2C4E2" w:rsidR="001636FF" w:rsidRPr="001636FF" w:rsidRDefault="001636FF" w:rsidP="001636FF">
    <w:pPr>
      <w:pStyle w:val="Footer"/>
      <w:jc w:val="right"/>
      <w:rPr>
        <w:rFonts w:ascii="Montserrat" w:hAnsi="Montserrat"/>
        <w:sz w:val="16"/>
        <w:szCs w:val="16"/>
      </w:rPr>
    </w:pPr>
    <w:r w:rsidRPr="001636FF">
      <w:rPr>
        <w:rFonts w:ascii="Montserrat" w:hAnsi="Montserrat"/>
        <w:sz w:val="16"/>
        <w:szCs w:val="16"/>
      </w:rPr>
      <w:t>USA-CRP-24-0031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2ECB6" w14:textId="77777777" w:rsidR="00093A1E" w:rsidRDefault="00093A1E" w:rsidP="007E6A7C">
      <w:r>
        <w:separator/>
      </w:r>
    </w:p>
  </w:footnote>
  <w:footnote w:type="continuationSeparator" w:id="0">
    <w:p w14:paraId="14821DF1" w14:textId="77777777" w:rsidR="00093A1E" w:rsidRDefault="00093A1E" w:rsidP="007E6A7C">
      <w:r>
        <w:continuationSeparator/>
      </w:r>
    </w:p>
  </w:footnote>
  <w:footnote w:type="continuationNotice" w:id="1">
    <w:p w14:paraId="0AE547BD" w14:textId="77777777" w:rsidR="00093A1E" w:rsidRDefault="00093A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E0296"/>
    <w:multiLevelType w:val="hybridMultilevel"/>
    <w:tmpl w:val="EA86D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A02B4"/>
    <w:multiLevelType w:val="multilevel"/>
    <w:tmpl w:val="A63E38C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8FE4513"/>
    <w:multiLevelType w:val="multilevel"/>
    <w:tmpl w:val="39D64E2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E960F4F"/>
    <w:multiLevelType w:val="hybridMultilevel"/>
    <w:tmpl w:val="D2DA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87547">
    <w:abstractNumId w:val="3"/>
  </w:num>
  <w:num w:numId="2" w16cid:durableId="1337919853">
    <w:abstractNumId w:val="1"/>
  </w:num>
  <w:num w:numId="3" w16cid:durableId="1528836979">
    <w:abstractNumId w:val="2"/>
  </w:num>
  <w:num w:numId="4" w16cid:durableId="1355617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C4"/>
    <w:rsid w:val="00041815"/>
    <w:rsid w:val="00066B62"/>
    <w:rsid w:val="00093A1E"/>
    <w:rsid w:val="000B2D00"/>
    <w:rsid w:val="000F6370"/>
    <w:rsid w:val="001636FF"/>
    <w:rsid w:val="001730EF"/>
    <w:rsid w:val="0018585F"/>
    <w:rsid w:val="001A351C"/>
    <w:rsid w:val="001C5583"/>
    <w:rsid w:val="001F42EE"/>
    <w:rsid w:val="00353C42"/>
    <w:rsid w:val="003616A2"/>
    <w:rsid w:val="0045516B"/>
    <w:rsid w:val="00493B96"/>
    <w:rsid w:val="004E6171"/>
    <w:rsid w:val="00530116"/>
    <w:rsid w:val="00583D96"/>
    <w:rsid w:val="005E3D65"/>
    <w:rsid w:val="005F470E"/>
    <w:rsid w:val="00652866"/>
    <w:rsid w:val="006B2852"/>
    <w:rsid w:val="00775F58"/>
    <w:rsid w:val="007951F4"/>
    <w:rsid w:val="007B10EE"/>
    <w:rsid w:val="007E3703"/>
    <w:rsid w:val="007E6A7C"/>
    <w:rsid w:val="007F7D79"/>
    <w:rsid w:val="00870FE9"/>
    <w:rsid w:val="008744C4"/>
    <w:rsid w:val="008815B5"/>
    <w:rsid w:val="00887FDF"/>
    <w:rsid w:val="008F7DD1"/>
    <w:rsid w:val="009E46F7"/>
    <w:rsid w:val="009F54F8"/>
    <w:rsid w:val="00A06CB4"/>
    <w:rsid w:val="00A22B74"/>
    <w:rsid w:val="00A532AF"/>
    <w:rsid w:val="00A91CD4"/>
    <w:rsid w:val="00AA40F0"/>
    <w:rsid w:val="00B030FE"/>
    <w:rsid w:val="00B53F78"/>
    <w:rsid w:val="00C92243"/>
    <w:rsid w:val="00CF4A2E"/>
    <w:rsid w:val="00CF7711"/>
    <w:rsid w:val="00E31E7E"/>
    <w:rsid w:val="00EA057D"/>
    <w:rsid w:val="00ED7FFB"/>
    <w:rsid w:val="00EE5DC3"/>
    <w:rsid w:val="00F011FC"/>
    <w:rsid w:val="00F468ED"/>
    <w:rsid w:val="00FD1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D43E6"/>
  <w15:chartTrackingRefBased/>
  <w15:docId w15:val="{C6DF07F1-5952-4A32-A494-36CFC2EB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16B"/>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8744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44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44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44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44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44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4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4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4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4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44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4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4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4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4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4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4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4C4"/>
    <w:rPr>
      <w:rFonts w:eastAsiaTheme="majorEastAsia" w:cstheme="majorBidi"/>
      <w:color w:val="272727" w:themeColor="text1" w:themeTint="D8"/>
    </w:rPr>
  </w:style>
  <w:style w:type="paragraph" w:styleId="Title">
    <w:name w:val="Title"/>
    <w:basedOn w:val="Normal"/>
    <w:next w:val="Normal"/>
    <w:link w:val="TitleChar"/>
    <w:uiPriority w:val="10"/>
    <w:qFormat/>
    <w:rsid w:val="008744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4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4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4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4C4"/>
    <w:pPr>
      <w:spacing w:before="160"/>
      <w:jc w:val="center"/>
    </w:pPr>
    <w:rPr>
      <w:i/>
      <w:iCs/>
      <w:color w:val="404040" w:themeColor="text1" w:themeTint="BF"/>
    </w:rPr>
  </w:style>
  <w:style w:type="character" w:customStyle="1" w:styleId="QuoteChar">
    <w:name w:val="Quote Char"/>
    <w:basedOn w:val="DefaultParagraphFont"/>
    <w:link w:val="Quote"/>
    <w:uiPriority w:val="29"/>
    <w:rsid w:val="008744C4"/>
    <w:rPr>
      <w:i/>
      <w:iCs/>
      <w:color w:val="404040" w:themeColor="text1" w:themeTint="BF"/>
    </w:rPr>
  </w:style>
  <w:style w:type="paragraph" w:styleId="ListParagraph">
    <w:name w:val="List Paragraph"/>
    <w:aliases w:val="Bullet List,FooterText,numbered,List Paragraph1,Paragraphe de liste1,Bulletr List Paragraph,列出段落,列出段落1,Listeafsnit1,Parágrafo da Lista1,List Paragraph2,List Paragraph21,????,????1,TOC style,Párrafo de lista1,リスト段落1,Plan,List Paragraph11"/>
    <w:basedOn w:val="Normal"/>
    <w:link w:val="ListParagraphChar"/>
    <w:uiPriority w:val="34"/>
    <w:qFormat/>
    <w:rsid w:val="008744C4"/>
    <w:pPr>
      <w:ind w:left="720"/>
      <w:contextualSpacing/>
    </w:pPr>
  </w:style>
  <w:style w:type="character" w:styleId="IntenseEmphasis">
    <w:name w:val="Intense Emphasis"/>
    <w:basedOn w:val="DefaultParagraphFont"/>
    <w:uiPriority w:val="21"/>
    <w:qFormat/>
    <w:rsid w:val="008744C4"/>
    <w:rPr>
      <w:i/>
      <w:iCs/>
      <w:color w:val="0F4761" w:themeColor="accent1" w:themeShade="BF"/>
    </w:rPr>
  </w:style>
  <w:style w:type="paragraph" w:styleId="IntenseQuote">
    <w:name w:val="Intense Quote"/>
    <w:basedOn w:val="Normal"/>
    <w:next w:val="Normal"/>
    <w:link w:val="IntenseQuoteChar"/>
    <w:uiPriority w:val="30"/>
    <w:qFormat/>
    <w:rsid w:val="008744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44C4"/>
    <w:rPr>
      <w:i/>
      <w:iCs/>
      <w:color w:val="0F4761" w:themeColor="accent1" w:themeShade="BF"/>
    </w:rPr>
  </w:style>
  <w:style w:type="character" w:styleId="IntenseReference">
    <w:name w:val="Intense Reference"/>
    <w:basedOn w:val="DefaultParagraphFont"/>
    <w:uiPriority w:val="32"/>
    <w:qFormat/>
    <w:rsid w:val="008744C4"/>
    <w:rPr>
      <w:b/>
      <w:bCs/>
      <w:smallCaps/>
      <w:color w:val="0F4761" w:themeColor="accent1" w:themeShade="BF"/>
      <w:spacing w:val="5"/>
    </w:rPr>
  </w:style>
  <w:style w:type="character" w:styleId="CommentReference">
    <w:name w:val="annotation reference"/>
    <w:basedOn w:val="DefaultParagraphFont"/>
    <w:uiPriority w:val="99"/>
    <w:semiHidden/>
    <w:unhideWhenUsed/>
    <w:rsid w:val="0045516B"/>
    <w:rPr>
      <w:sz w:val="16"/>
      <w:szCs w:val="16"/>
    </w:rPr>
  </w:style>
  <w:style w:type="paragraph" w:styleId="CommentText">
    <w:name w:val="annotation text"/>
    <w:basedOn w:val="Normal"/>
    <w:link w:val="CommentTextChar"/>
    <w:uiPriority w:val="99"/>
    <w:unhideWhenUsed/>
    <w:rsid w:val="0045516B"/>
    <w:rPr>
      <w:sz w:val="20"/>
      <w:szCs w:val="20"/>
    </w:rPr>
  </w:style>
  <w:style w:type="character" w:customStyle="1" w:styleId="CommentTextChar">
    <w:name w:val="Comment Text Char"/>
    <w:basedOn w:val="DefaultParagraphFont"/>
    <w:link w:val="CommentText"/>
    <w:uiPriority w:val="99"/>
    <w:rsid w:val="0045516B"/>
    <w:rPr>
      <w:rFonts w:ascii="Calibri" w:eastAsia="Calibri" w:hAnsi="Calibri" w:cs="Calibri"/>
      <w:kern w:val="0"/>
      <w:sz w:val="20"/>
      <w:szCs w:val="20"/>
      <w14:ligatures w14:val="none"/>
    </w:rPr>
  </w:style>
  <w:style w:type="character" w:customStyle="1" w:styleId="eop">
    <w:name w:val="eop"/>
    <w:basedOn w:val="DefaultParagraphFont"/>
    <w:rsid w:val="0045516B"/>
  </w:style>
  <w:style w:type="paragraph" w:styleId="NormalWeb">
    <w:name w:val="Normal (Web)"/>
    <w:basedOn w:val="Normal"/>
    <w:uiPriority w:val="99"/>
    <w:unhideWhenUsed/>
    <w:rsid w:val="0045516B"/>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7E6A7C"/>
  </w:style>
  <w:style w:type="character" w:customStyle="1" w:styleId="BodyTextChar">
    <w:name w:val="Body Text Char"/>
    <w:basedOn w:val="DefaultParagraphFont"/>
    <w:link w:val="BodyText"/>
    <w:uiPriority w:val="1"/>
    <w:rsid w:val="007E6A7C"/>
    <w:rPr>
      <w:rFonts w:ascii="Calibri" w:eastAsia="Calibri" w:hAnsi="Calibri" w:cs="Calibri"/>
      <w:kern w:val="0"/>
      <w14:ligatures w14:val="none"/>
    </w:rPr>
  </w:style>
  <w:style w:type="paragraph" w:styleId="EndnoteText">
    <w:name w:val="endnote text"/>
    <w:basedOn w:val="Normal"/>
    <w:link w:val="EndnoteTextChar"/>
    <w:uiPriority w:val="99"/>
    <w:unhideWhenUsed/>
    <w:qFormat/>
    <w:rsid w:val="007E6A7C"/>
    <w:rPr>
      <w:sz w:val="20"/>
      <w:szCs w:val="20"/>
    </w:rPr>
  </w:style>
  <w:style w:type="character" w:customStyle="1" w:styleId="EndnoteTextChar">
    <w:name w:val="Endnote Text Char"/>
    <w:basedOn w:val="DefaultParagraphFont"/>
    <w:link w:val="EndnoteText"/>
    <w:uiPriority w:val="99"/>
    <w:rsid w:val="007E6A7C"/>
    <w:rPr>
      <w:rFonts w:ascii="Calibri" w:eastAsia="Calibri" w:hAnsi="Calibri" w:cs="Calibri"/>
      <w:kern w:val="0"/>
      <w:sz w:val="20"/>
      <w:szCs w:val="20"/>
      <w14:ligatures w14:val="none"/>
    </w:rPr>
  </w:style>
  <w:style w:type="character" w:styleId="EndnoteReference">
    <w:name w:val="endnote reference"/>
    <w:basedOn w:val="DefaultParagraphFont"/>
    <w:uiPriority w:val="99"/>
    <w:unhideWhenUsed/>
    <w:qFormat/>
    <w:rsid w:val="007E6A7C"/>
    <w:rPr>
      <w:vertAlign w:val="superscript"/>
    </w:rPr>
  </w:style>
  <w:style w:type="character" w:customStyle="1" w:styleId="ListParagraphChar">
    <w:name w:val="List Paragraph Char"/>
    <w:aliases w:val="Bullet List Char,FooterText Char,numbered Char,List Paragraph1 Char,Paragraphe de liste1 Char,Bulletr List Paragraph Char,列出段落 Char,列出段落1 Char,Listeafsnit1 Char,Parágrafo da Lista1 Char,List Paragraph2 Char,List Paragraph21 Char"/>
    <w:basedOn w:val="DefaultParagraphFont"/>
    <w:link w:val="ListParagraph"/>
    <w:uiPriority w:val="34"/>
    <w:locked/>
    <w:rsid w:val="007E6A7C"/>
  </w:style>
  <w:style w:type="character" w:styleId="Hyperlink">
    <w:name w:val="Hyperlink"/>
    <w:basedOn w:val="DefaultParagraphFont"/>
    <w:uiPriority w:val="99"/>
    <w:unhideWhenUsed/>
    <w:rsid w:val="007E6A7C"/>
    <w:rPr>
      <w:color w:val="467886" w:themeColor="hyperlink"/>
      <w:u w:val="single"/>
    </w:rPr>
  </w:style>
  <w:style w:type="paragraph" w:styleId="Header">
    <w:name w:val="header"/>
    <w:basedOn w:val="Normal"/>
    <w:link w:val="HeaderChar"/>
    <w:uiPriority w:val="99"/>
    <w:unhideWhenUsed/>
    <w:rsid w:val="007E6A7C"/>
    <w:pPr>
      <w:tabs>
        <w:tab w:val="center" w:pos="4680"/>
        <w:tab w:val="right" w:pos="9360"/>
      </w:tabs>
    </w:pPr>
  </w:style>
  <w:style w:type="character" w:customStyle="1" w:styleId="HeaderChar">
    <w:name w:val="Header Char"/>
    <w:basedOn w:val="DefaultParagraphFont"/>
    <w:link w:val="Header"/>
    <w:uiPriority w:val="99"/>
    <w:rsid w:val="007E6A7C"/>
    <w:rPr>
      <w:rFonts w:ascii="Calibri" w:eastAsia="Calibri" w:hAnsi="Calibri" w:cs="Calibri"/>
      <w:kern w:val="0"/>
      <w14:ligatures w14:val="none"/>
    </w:rPr>
  </w:style>
  <w:style w:type="paragraph" w:styleId="Footer">
    <w:name w:val="footer"/>
    <w:basedOn w:val="Normal"/>
    <w:link w:val="FooterChar"/>
    <w:uiPriority w:val="99"/>
    <w:unhideWhenUsed/>
    <w:rsid w:val="00AA40F0"/>
    <w:pPr>
      <w:tabs>
        <w:tab w:val="center" w:pos="4680"/>
        <w:tab w:val="right" w:pos="9360"/>
      </w:tabs>
    </w:pPr>
  </w:style>
  <w:style w:type="character" w:customStyle="1" w:styleId="FooterChar">
    <w:name w:val="Footer Char"/>
    <w:basedOn w:val="DefaultParagraphFont"/>
    <w:link w:val="Footer"/>
    <w:uiPriority w:val="99"/>
    <w:rsid w:val="00AA40F0"/>
    <w:rPr>
      <w:rFonts w:ascii="Calibri" w:eastAsia="Calibri" w:hAnsi="Calibri" w:cs="Calibri"/>
      <w:kern w:val="0"/>
      <w14:ligatures w14:val="none"/>
    </w:rPr>
  </w:style>
  <w:style w:type="paragraph" w:styleId="Revision">
    <w:name w:val="Revision"/>
    <w:hidden/>
    <w:uiPriority w:val="99"/>
    <w:semiHidden/>
    <w:rsid w:val="004E6171"/>
    <w:pPr>
      <w:spacing w:after="0" w:line="240" w:lineRule="auto"/>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aers.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EF4A-86C7-487C-9E0F-3105750AF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Real Chemistry</dc:creator>
  <cp:keywords/>
  <dc:description/>
  <cp:lastModifiedBy>Real Chemistry</cp:lastModifiedBy>
  <cp:revision>4</cp:revision>
  <dcterms:created xsi:type="dcterms:W3CDTF">2024-10-07T14:30:00Z</dcterms:created>
  <dcterms:modified xsi:type="dcterms:W3CDTF">2024-10-15T14:25:00Z</dcterms:modified>
</cp:coreProperties>
</file>